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167FB15">
                <wp:simplePos x="0" y="0"/>
                <wp:positionH relativeFrom="margin">
                  <wp:align>left</wp:align>
                </wp:positionH>
                <wp:positionV relativeFrom="margin">
                  <wp:posOffset>519955</wp:posOffset>
                </wp:positionV>
                <wp:extent cx="6000115" cy="171450"/>
                <wp:effectExtent l="0" t="0" r="19685" b="19050"/>
                <wp:wrapSquare wrapText="bothSides"/>
                <wp:docPr id="1" name="Text Box 2"/>
                <wp:cNvGraphicFramePr/>
                <a:graphic xmlns:a="http://schemas.openxmlformats.org/drawingml/2006/main">
                  <a:graphicData uri="http://schemas.microsoft.com/office/word/2010/wordprocessingShape">
                    <wps:wsp>
                      <wps:cNvSpPr txBox="1"/>
                      <wps:spPr>
                        <a:xfrm>
                          <a:off x="0" y="0"/>
                          <a:ext cx="6000115" cy="171450"/>
                        </a:xfrm>
                        <a:prstGeom prst="rect">
                          <a:avLst/>
                        </a:prstGeom>
                        <a:solidFill>
                          <a:srgbClr val="F2F2F2"/>
                        </a:solidFill>
                        <a:ln w="9528">
                          <a:solidFill>
                            <a:srgbClr val="000000"/>
                          </a:solidFill>
                          <a:prstDash val="solid"/>
                        </a:ln>
                      </wps:spPr>
                      <wps:txbx>
                        <w:txbxContent>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13.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" fillcolor="#f2f2f2" strokeweight=".26467mm">
                <v:textbox>
                  <w:txbxContent>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51A5824"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2021 to 202</w:t>
      </w:r>
      <w:r w:rsidR="00DC76CC">
        <w:rPr>
          <w:b w:val="0"/>
          <w:bCs/>
          <w:color w:val="auto"/>
          <w:sz w:val="24"/>
          <w:szCs w:val="24"/>
        </w:rPr>
        <w:t>4</w:t>
      </w:r>
      <w:r>
        <w:rPr>
          <w:b w:val="0"/>
          <w:bCs/>
          <w:color w:val="auto"/>
          <w:sz w:val="24"/>
          <w:szCs w:val="24"/>
        </w:rPr>
        <w:t xml:space="preserve"> academic year</w:t>
      </w:r>
      <w:r w:rsidR="00DC76CC">
        <w:rPr>
          <w:b w:val="0"/>
          <w:bCs/>
          <w:color w:val="auto"/>
          <w:sz w:val="24"/>
          <w:szCs w:val="24"/>
        </w:rPr>
        <w:t>s</w:t>
      </w:r>
      <w:r>
        <w:rPr>
          <w:b w:val="0"/>
          <w:bCs/>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90"/>
        <w:gridCol w:w="3296"/>
      </w:tblGrid>
      <w:tr w:rsidR="00E66558" w14:paraId="2A7D54B7"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3D1215F" w:rsidR="00E66558" w:rsidRDefault="00E20DCA" w:rsidP="0067052C">
            <w:pPr>
              <w:pStyle w:val="TableRow"/>
              <w:ind w:left="0"/>
            </w:pPr>
            <w:r>
              <w:t>Village Infant</w:t>
            </w:r>
            <w:r w:rsidR="00A86663">
              <w:t xml:space="preserve"> School</w:t>
            </w:r>
          </w:p>
        </w:tc>
      </w:tr>
      <w:tr w:rsidR="00E66558" w14:paraId="2A7D54BD"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3DDE" w14:textId="7240A233" w:rsidR="00D24B37" w:rsidRPr="00A86663" w:rsidRDefault="004F097F" w:rsidP="00687CCE">
            <w:pPr>
              <w:pStyle w:val="TableRow"/>
              <w:tabs>
                <w:tab w:val="left" w:pos="969"/>
              </w:tabs>
              <w:ind w:left="0"/>
              <w:rPr>
                <w:color w:val="auto"/>
              </w:rPr>
            </w:pPr>
            <w:r w:rsidRPr="00A86663">
              <w:rPr>
                <w:color w:val="auto"/>
              </w:rPr>
              <w:t xml:space="preserve">(2023- </w:t>
            </w:r>
            <w:r w:rsidR="00D24B37" w:rsidRPr="00A86663">
              <w:rPr>
                <w:color w:val="auto"/>
              </w:rPr>
              <w:t>2</w:t>
            </w:r>
            <w:r w:rsidR="00EB3677" w:rsidRPr="00A86663">
              <w:rPr>
                <w:color w:val="auto"/>
              </w:rPr>
              <w:t>91)</w:t>
            </w:r>
          </w:p>
          <w:p w14:paraId="2A7D54BC" w14:textId="50ED79FA" w:rsidR="00D24B37" w:rsidRPr="004F097F" w:rsidRDefault="00D24B37" w:rsidP="00687CCE">
            <w:pPr>
              <w:pStyle w:val="TableRow"/>
              <w:tabs>
                <w:tab w:val="left" w:pos="969"/>
              </w:tabs>
              <w:ind w:left="0"/>
              <w:rPr>
                <w:color w:val="5F497A" w:themeColor="accent4" w:themeShade="BF"/>
              </w:rPr>
            </w:pPr>
          </w:p>
        </w:tc>
      </w:tr>
      <w:tr w:rsidR="00E66558" w14:paraId="2A7D54C0"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86EA6EF" w:rsidR="004F097F" w:rsidRDefault="004F097F" w:rsidP="00481057">
            <w:pPr>
              <w:pStyle w:val="TableRow"/>
              <w:ind w:left="0"/>
            </w:pPr>
            <w:r w:rsidRPr="00A86663">
              <w:rPr>
                <w:color w:val="auto"/>
              </w:rPr>
              <w:t>(2023</w:t>
            </w:r>
            <w:r w:rsidR="00DC76CC" w:rsidRPr="00A86663">
              <w:rPr>
                <w:color w:val="auto"/>
              </w:rPr>
              <w:t xml:space="preserve">) </w:t>
            </w:r>
            <w:r w:rsidRPr="00A86663">
              <w:rPr>
                <w:color w:val="auto"/>
              </w:rPr>
              <w:t xml:space="preserve">- </w:t>
            </w:r>
            <w:r w:rsidR="00EB3677" w:rsidRPr="00A86663">
              <w:rPr>
                <w:color w:val="auto"/>
              </w:rPr>
              <w:t>24.05%</w:t>
            </w:r>
          </w:p>
        </w:tc>
      </w:tr>
      <w:tr w:rsidR="00E66558" w14:paraId="2A7D54C3"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FE6FEE5" w:rsidR="00E66558" w:rsidRDefault="009D71E8">
            <w:pPr>
              <w:pStyle w:val="TableRow"/>
            </w:pPr>
            <w:r>
              <w:rPr>
                <w:szCs w:val="22"/>
              </w:rPr>
              <w:t xml:space="preserve">Academic 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8B746" w14:textId="243F0230" w:rsidR="00CE1C44" w:rsidRDefault="00E20DCA" w:rsidP="0067052C">
            <w:pPr>
              <w:pStyle w:val="TableRow"/>
              <w:ind w:left="0"/>
            </w:pPr>
            <w:r>
              <w:t>2021</w:t>
            </w:r>
            <w:r w:rsidR="00A86663">
              <w:t>-</w:t>
            </w:r>
            <w:r>
              <w:t>2022</w:t>
            </w:r>
            <w:r w:rsidR="00CE1C44">
              <w:t xml:space="preserve">  </w:t>
            </w:r>
          </w:p>
          <w:p w14:paraId="2043BD90" w14:textId="7F0FD49E" w:rsidR="00A86663" w:rsidRDefault="00A86663" w:rsidP="0067052C">
            <w:pPr>
              <w:pStyle w:val="TableRow"/>
              <w:ind w:left="0"/>
            </w:pPr>
            <w:r>
              <w:t>2022-2023</w:t>
            </w:r>
          </w:p>
          <w:p w14:paraId="1D5CB2E1" w14:textId="0E8B10F5" w:rsidR="00A86663" w:rsidRPr="00A86663" w:rsidRDefault="00A86663" w:rsidP="0067052C">
            <w:pPr>
              <w:pStyle w:val="TableRow"/>
              <w:ind w:left="0"/>
              <w:rPr>
                <w:b/>
                <w:bCs/>
              </w:rPr>
            </w:pPr>
            <w:r w:rsidRPr="00A86663">
              <w:rPr>
                <w:b/>
                <w:bCs/>
              </w:rPr>
              <w:t>2023-2024</w:t>
            </w:r>
          </w:p>
          <w:p w14:paraId="2A7D54C2" w14:textId="3E0A17C7" w:rsidR="00E66558" w:rsidRPr="00B96470" w:rsidRDefault="00E66558" w:rsidP="0067052C">
            <w:pPr>
              <w:pStyle w:val="TableRow"/>
              <w:ind w:left="0"/>
              <w:rPr>
                <w:strike/>
                <w:vertAlign w:val="subscript"/>
              </w:rPr>
            </w:pPr>
          </w:p>
        </w:tc>
      </w:tr>
      <w:tr w:rsidR="00E66558" w14:paraId="2A7D54C6"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7BFF300" w:rsidR="00E66558" w:rsidRDefault="00E20DCA" w:rsidP="0067052C">
            <w:pPr>
              <w:pStyle w:val="TableRow"/>
              <w:ind w:left="0"/>
            </w:pPr>
            <w:r>
              <w:t>December 202</w:t>
            </w:r>
            <w:r w:rsidR="00A86663">
              <w:t>3</w:t>
            </w:r>
          </w:p>
        </w:tc>
      </w:tr>
      <w:tr w:rsidR="00E66558" w14:paraId="2A7D54C9"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35394DB" w:rsidR="0011039B" w:rsidRDefault="00A86663" w:rsidP="0067052C">
            <w:pPr>
              <w:pStyle w:val="TableRow"/>
              <w:ind w:left="0"/>
            </w:pPr>
            <w:r>
              <w:t>December 2024</w:t>
            </w:r>
            <w:r w:rsidR="0011039B">
              <w:t xml:space="preserve">   </w:t>
            </w:r>
          </w:p>
        </w:tc>
      </w:tr>
      <w:tr w:rsidR="00E66558" w14:paraId="2A7D54CC"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A700" w14:textId="77777777" w:rsidR="00E66558" w:rsidRDefault="00E20DCA" w:rsidP="0067052C">
            <w:pPr>
              <w:pStyle w:val="TableRow"/>
              <w:ind w:left="0"/>
            </w:pPr>
            <w:r>
              <w:t>Y Cattle</w:t>
            </w:r>
          </w:p>
          <w:p w14:paraId="2A7D54CB" w14:textId="182E61CA" w:rsidR="00CE1C44" w:rsidRDefault="00CE1C44" w:rsidP="0067052C">
            <w:pPr>
              <w:pStyle w:val="TableRow"/>
              <w:ind w:left="0"/>
            </w:pPr>
            <w:r>
              <w:t>Head Teacher</w:t>
            </w:r>
          </w:p>
        </w:tc>
      </w:tr>
      <w:tr w:rsidR="00E66558" w14:paraId="2A7D54CF"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5A15" w14:textId="49A988EB" w:rsidR="00E66558" w:rsidRDefault="00ED5169" w:rsidP="0067052C">
            <w:pPr>
              <w:pStyle w:val="TableRow"/>
              <w:ind w:left="0"/>
            </w:pPr>
            <w:r>
              <w:t>A Rix</w:t>
            </w:r>
          </w:p>
          <w:p w14:paraId="2A7D54CE" w14:textId="466A4166" w:rsidR="00CE1C44" w:rsidRDefault="00ED5169" w:rsidP="0067052C">
            <w:pPr>
              <w:pStyle w:val="TableRow"/>
              <w:ind w:left="0"/>
            </w:pPr>
            <w:r>
              <w:t>Deputy Head Teacher</w:t>
            </w:r>
          </w:p>
        </w:tc>
      </w:tr>
      <w:tr w:rsidR="00E66558" w14:paraId="2A7D54D2" w14:textId="77777777" w:rsidTr="00ED5169">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FB843C3" w:rsidR="00E66558" w:rsidRDefault="00CE1C44" w:rsidP="0011039B">
            <w:pPr>
              <w:pStyle w:val="TableRow"/>
              <w:ind w:left="0"/>
            </w:pPr>
            <w:r>
              <w:t>Jo Archer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635E0EB" w:rsidR="00E66558" w:rsidRPr="004F097F" w:rsidRDefault="004F097F">
            <w:pPr>
              <w:pStyle w:val="TableRow"/>
              <w:rPr>
                <w:color w:val="5F497A" w:themeColor="accent4" w:themeShade="BF"/>
              </w:rPr>
            </w:pPr>
            <w:r w:rsidRPr="00A86663">
              <w:rPr>
                <w:color w:val="auto"/>
              </w:rPr>
              <w:t>£</w:t>
            </w:r>
            <w:r w:rsidR="00EB3677" w:rsidRPr="00A86663">
              <w:rPr>
                <w:color w:val="auto"/>
              </w:rPr>
              <w:t>99,266</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9172DAB" w:rsidR="00E66558" w:rsidRPr="00FD0CB8" w:rsidRDefault="004F097F">
            <w:pPr>
              <w:pStyle w:val="TableRow"/>
              <w:rPr>
                <w:color w:val="FF0000"/>
              </w:rPr>
            </w:pPr>
            <w:r w:rsidRPr="00A86663">
              <w:rPr>
                <w:color w:val="auto"/>
              </w:rPr>
              <w:t>£</w:t>
            </w:r>
            <w:r w:rsidR="00B6641F" w:rsidRPr="00A86663">
              <w:rPr>
                <w:color w:val="auto"/>
              </w:rPr>
              <w:t>9,280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B17AD4C" w:rsidR="00E66558" w:rsidRPr="00FD0CB8" w:rsidRDefault="009D71E8">
            <w:pPr>
              <w:pStyle w:val="TableRow"/>
              <w:rPr>
                <w:color w:val="FF0000"/>
              </w:rPr>
            </w:pPr>
            <w:r w:rsidRPr="00B96470">
              <w:rPr>
                <w:color w:val="auto"/>
              </w:rPr>
              <w:t>£</w:t>
            </w:r>
            <w:r w:rsidR="00844101" w:rsidRPr="00B96470">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B214A78" w:rsidR="00E66558" w:rsidRPr="00FD0CB8" w:rsidRDefault="004F097F" w:rsidP="00A86663">
            <w:pPr>
              <w:pStyle w:val="TableRow"/>
              <w:ind w:left="0"/>
              <w:rPr>
                <w:color w:val="FF0000"/>
              </w:rPr>
            </w:pPr>
            <w:r w:rsidRPr="00A86663">
              <w:rPr>
                <w:color w:val="auto"/>
              </w:rPr>
              <w:lastRenderedPageBreak/>
              <w:t>£</w:t>
            </w:r>
            <w:r w:rsidR="00B6641F" w:rsidRPr="00A86663">
              <w:rPr>
                <w:color w:val="auto"/>
              </w:rPr>
              <w:t>108,546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921A" w14:textId="65C683EE" w:rsidR="001C7D5D" w:rsidRPr="00D414BD" w:rsidRDefault="001C7D5D" w:rsidP="001C7D5D">
            <w:pPr>
              <w:spacing w:before="120"/>
              <w:rPr>
                <w:rFonts w:cs="Arial"/>
                <w:iCs/>
                <w:color w:val="auto"/>
                <w:lang w:val="en-US"/>
              </w:rPr>
            </w:pPr>
            <w:r w:rsidRPr="00D414BD">
              <w:rPr>
                <w:rFonts w:cs="Arial"/>
                <w:iCs/>
                <w:color w:val="auto"/>
              </w:rPr>
              <w:t xml:space="preserve">Our intention is that all pupils, irrespective of their background or the challenges they face, make good progress and achieve high attainment across all subject areas. </w:t>
            </w:r>
            <w:r w:rsidRPr="00D414BD">
              <w:rPr>
                <w:rFonts w:cs="Arial"/>
                <w:iCs/>
                <w:color w:val="auto"/>
                <w:lang w:val="en-US"/>
              </w:rPr>
              <w:t xml:space="preserve">The focus of our pupil premium strategy is to support disadvantaged pupils to achieve that goal, including progress for those </w:t>
            </w:r>
            <w:r w:rsidR="00ED5169" w:rsidRPr="00D414BD">
              <w:rPr>
                <w:rFonts w:cs="Arial"/>
                <w:iCs/>
                <w:color w:val="auto"/>
                <w:lang w:val="en-US"/>
              </w:rPr>
              <w:t>who are already high attainers</w:t>
            </w:r>
            <w:r w:rsidR="00D414BD" w:rsidRPr="00D414BD">
              <w:rPr>
                <w:rFonts w:cs="Arial"/>
                <w:iCs/>
                <w:color w:val="auto"/>
                <w:lang w:val="en-US"/>
              </w:rPr>
              <w:t>,</w:t>
            </w:r>
            <w:r w:rsidR="00ED5169" w:rsidRPr="00D414BD">
              <w:rPr>
                <w:rFonts w:cs="Arial"/>
                <w:iCs/>
                <w:color w:val="auto"/>
                <w:lang w:val="en-US"/>
              </w:rPr>
              <w:t xml:space="preserve"> and </w:t>
            </w:r>
            <w:r w:rsidR="00B1641D" w:rsidRPr="00D414BD">
              <w:rPr>
                <w:rFonts w:cs="Arial"/>
                <w:iCs/>
                <w:color w:val="auto"/>
                <w:lang w:val="en-US"/>
              </w:rPr>
              <w:t xml:space="preserve">to </w:t>
            </w:r>
            <w:r w:rsidR="00ED5169" w:rsidRPr="00D414BD">
              <w:rPr>
                <w:rFonts w:cs="Arial"/>
                <w:iCs/>
                <w:color w:val="auto"/>
                <w:lang w:val="en-US"/>
              </w:rPr>
              <w:t xml:space="preserve">provide </w:t>
            </w:r>
            <w:r w:rsidR="00B1641D" w:rsidRPr="00D414BD">
              <w:rPr>
                <w:rFonts w:cs="Arial"/>
                <w:iCs/>
                <w:color w:val="auto"/>
                <w:lang w:val="en-US"/>
              </w:rPr>
              <w:t xml:space="preserve">additional </w:t>
            </w:r>
            <w:r w:rsidR="00ED5169" w:rsidRPr="00D414BD">
              <w:rPr>
                <w:rFonts w:cs="Arial"/>
                <w:iCs/>
                <w:color w:val="auto"/>
                <w:lang w:val="en-US"/>
              </w:rPr>
              <w:t xml:space="preserve">opportunities for extracurricular activities. </w:t>
            </w:r>
          </w:p>
          <w:p w14:paraId="29C1B5F4" w14:textId="73D3ABB3" w:rsidR="001C7D5D" w:rsidRPr="00D414BD" w:rsidRDefault="001C7D5D" w:rsidP="001C7D5D">
            <w:pPr>
              <w:spacing w:before="120"/>
              <w:rPr>
                <w:rFonts w:cs="Arial"/>
                <w:iCs/>
                <w:color w:val="auto"/>
              </w:rPr>
            </w:pPr>
            <w:r w:rsidRPr="00D414BD">
              <w:rPr>
                <w:rFonts w:cs="Arial"/>
                <w:iCs/>
                <w:color w:val="auto"/>
                <w:lang w:val="en-US"/>
              </w:rPr>
              <w:t xml:space="preserve">We will consider the challenges faced by vulnerable pupils, such as those who have a social worker and young </w:t>
            </w:r>
            <w:proofErr w:type="spellStart"/>
            <w:r w:rsidRPr="00D414BD">
              <w:rPr>
                <w:rFonts w:cs="Arial"/>
                <w:iCs/>
                <w:color w:val="auto"/>
                <w:lang w:val="en-US"/>
              </w:rPr>
              <w:t>carers</w:t>
            </w:r>
            <w:proofErr w:type="spellEnd"/>
            <w:r w:rsidRPr="00D414BD">
              <w:rPr>
                <w:rFonts w:cs="Arial"/>
                <w:iCs/>
                <w:color w:val="auto"/>
                <w:lang w:val="en-US"/>
              </w:rPr>
              <w:t xml:space="preserve">. The activities we have outlined in this statement </w:t>
            </w:r>
            <w:proofErr w:type="spellStart"/>
            <w:r w:rsidRPr="00D414BD">
              <w:rPr>
                <w:rFonts w:cs="Arial"/>
                <w:iCs/>
                <w:color w:val="auto"/>
                <w:lang w:val="en-US"/>
              </w:rPr>
              <w:t>i</w:t>
            </w:r>
            <w:r w:rsidR="00A86663">
              <w:rPr>
                <w:rFonts w:cs="Arial"/>
                <w:iCs/>
                <w:color w:val="auto"/>
                <w:lang w:val="en-US"/>
              </w:rPr>
              <w:t>are</w:t>
            </w:r>
            <w:proofErr w:type="spellEnd"/>
            <w:r w:rsidR="00A86663">
              <w:rPr>
                <w:rFonts w:cs="Arial"/>
                <w:iCs/>
                <w:color w:val="auto"/>
                <w:lang w:val="en-US"/>
              </w:rPr>
              <w:t xml:space="preserve"> </w:t>
            </w:r>
            <w:r w:rsidRPr="00D414BD">
              <w:rPr>
                <w:rFonts w:cs="Arial"/>
                <w:iCs/>
                <w:color w:val="auto"/>
                <w:lang w:val="en-US"/>
              </w:rPr>
              <w:t>also intended to support their needs, regardless of whether they are disadvantaged or not.</w:t>
            </w:r>
          </w:p>
          <w:p w14:paraId="076E2890" w14:textId="77777777" w:rsidR="001C7D5D" w:rsidRPr="00D414BD" w:rsidRDefault="001C7D5D" w:rsidP="001C7D5D">
            <w:pPr>
              <w:rPr>
                <w:iCs/>
                <w:color w:val="auto"/>
                <w:lang w:val="en-US"/>
              </w:rPr>
            </w:pPr>
            <w:r w:rsidRPr="00D414BD">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D414BD">
              <w:rPr>
                <w:iCs/>
                <w:color w:val="auto"/>
                <w:lang w:val="en-US"/>
              </w:rPr>
              <w:t>Implicit in the intended outcomes detailed below, is the intention that non-disadvantaged pupils’ attainment will be sustained and improved alongside progress for their disadvantaged peers.</w:t>
            </w:r>
          </w:p>
          <w:p w14:paraId="2816C467" w14:textId="58563305" w:rsidR="001C7D5D" w:rsidRPr="00D414BD" w:rsidRDefault="001C7D5D" w:rsidP="001C7D5D">
            <w:pPr>
              <w:rPr>
                <w:rFonts w:cs="Arial"/>
                <w:color w:val="auto"/>
              </w:rPr>
            </w:pPr>
            <w:r w:rsidRPr="00D414BD">
              <w:rPr>
                <w:rFonts w:cs="Arial"/>
                <w:color w:val="auto"/>
              </w:rPr>
              <w:t xml:space="preserve">Our strategy is also integral to wider school plans for education recovery, notably in its targeted support through School Led Tutoring and targeted interventions for pupils whose education has been worst affected, including non-disadvantaged pupils.    </w:t>
            </w:r>
          </w:p>
          <w:p w14:paraId="0C795DB7" w14:textId="1F686044" w:rsidR="001C7D5D" w:rsidRPr="00D414BD" w:rsidRDefault="001C7D5D" w:rsidP="001C7D5D">
            <w:pPr>
              <w:spacing w:after="120"/>
              <w:rPr>
                <w:rFonts w:cs="Arial"/>
                <w:iCs/>
                <w:color w:val="auto"/>
                <w:lang w:val="en-US"/>
              </w:rPr>
            </w:pPr>
            <w:r w:rsidRPr="00D414BD">
              <w:rPr>
                <w:rFonts w:cs="Arial"/>
                <w:iCs/>
                <w:color w:val="auto"/>
                <w:lang w:val="en-US"/>
              </w:rPr>
              <w:t xml:space="preserve">Targeted interventions will be put in place to ensure the attainment gap between pupil premium and non- pupil premium is diminished.  We will also target the learning </w:t>
            </w:r>
            <w:r w:rsidR="00DC76CC" w:rsidRPr="00D414BD">
              <w:rPr>
                <w:rFonts w:cs="Arial"/>
                <w:iCs/>
                <w:color w:val="auto"/>
                <w:lang w:val="en-US"/>
              </w:rPr>
              <w:t>behaviors</w:t>
            </w:r>
            <w:r w:rsidRPr="00D414BD">
              <w:rPr>
                <w:rFonts w:cs="Arial"/>
                <w:iCs/>
                <w:color w:val="auto"/>
                <w:lang w:val="en-US"/>
              </w:rPr>
              <w:t xml:space="preserve"> and emotional resilience of all the children to ensure their social and emotional mental health is not a barrier to learning.   The approaches we have adopted complement each other to help pupils excel. To ensure they are effective we will:</w:t>
            </w:r>
          </w:p>
          <w:p w14:paraId="270CF519" w14:textId="3CC5087B" w:rsidR="001C7D5D" w:rsidRPr="00D414BD" w:rsidRDefault="001C7D5D" w:rsidP="001C7D5D">
            <w:pPr>
              <w:numPr>
                <w:ilvl w:val="0"/>
                <w:numId w:val="14"/>
              </w:numPr>
              <w:suppressAutoHyphens w:val="0"/>
              <w:autoSpaceDN/>
              <w:spacing w:after="0"/>
              <w:ind w:left="714" w:hanging="357"/>
              <w:contextualSpacing/>
              <w:rPr>
                <w:rFonts w:cs="Arial"/>
                <w:iCs/>
                <w:color w:val="auto"/>
                <w:lang w:val="en-US"/>
              </w:rPr>
            </w:pPr>
            <w:r w:rsidRPr="00D414BD">
              <w:rPr>
                <w:rFonts w:cs="Arial"/>
                <w:iCs/>
                <w:color w:val="auto"/>
                <w:lang w:val="en-US"/>
              </w:rPr>
              <w:t>ensure disadvantaged pupils are cha</w:t>
            </w:r>
            <w:r w:rsidR="00D414BD" w:rsidRPr="00D414BD">
              <w:rPr>
                <w:rFonts w:cs="Arial"/>
                <w:iCs/>
                <w:color w:val="auto"/>
                <w:lang w:val="en-US"/>
              </w:rPr>
              <w:t>llenged in the work that they are</w:t>
            </w:r>
            <w:r w:rsidRPr="00D414BD">
              <w:rPr>
                <w:rFonts w:cs="Arial"/>
                <w:iCs/>
                <w:color w:val="auto"/>
                <w:lang w:val="en-US"/>
              </w:rPr>
              <w:t xml:space="preserve"> set</w:t>
            </w:r>
          </w:p>
          <w:p w14:paraId="37237BBA" w14:textId="77777777" w:rsidR="001C7D5D" w:rsidRPr="00D414BD" w:rsidRDefault="001C7D5D" w:rsidP="001C7D5D">
            <w:pPr>
              <w:numPr>
                <w:ilvl w:val="0"/>
                <w:numId w:val="14"/>
              </w:numPr>
              <w:suppressAutoHyphens w:val="0"/>
              <w:autoSpaceDN/>
              <w:spacing w:after="0"/>
              <w:ind w:left="714" w:hanging="357"/>
              <w:contextualSpacing/>
              <w:rPr>
                <w:rFonts w:cs="Arial"/>
                <w:iCs/>
                <w:color w:val="auto"/>
                <w:lang w:val="en-US"/>
              </w:rPr>
            </w:pPr>
            <w:r w:rsidRPr="00D414BD">
              <w:rPr>
                <w:rFonts w:cs="Arial"/>
                <w:color w:val="auto"/>
              </w:rPr>
              <w:t>act early to intervene at the point need is identified</w:t>
            </w:r>
          </w:p>
          <w:p w14:paraId="2A7D54E9" w14:textId="674E5886" w:rsidR="001C7D5D" w:rsidRPr="001C7D5D" w:rsidRDefault="001C7D5D" w:rsidP="001C7D5D">
            <w:pPr>
              <w:pStyle w:val="ListParagraph"/>
              <w:numPr>
                <w:ilvl w:val="0"/>
                <w:numId w:val="14"/>
              </w:numPr>
              <w:spacing w:after="0"/>
              <w:ind w:left="714" w:hanging="357"/>
              <w:rPr>
                <w:iCs/>
              </w:rPr>
            </w:pPr>
            <w:r w:rsidRPr="00D414BD">
              <w:rPr>
                <w:rFonts w:cs="Arial"/>
                <w:color w:val="auto"/>
              </w:rPr>
              <w:t>adopt a whole school approach in which all staff take responsibility for disadvantaged pupils’ outcomes and raise expectations of what they can achieve</w:t>
            </w:r>
          </w:p>
        </w:tc>
      </w:tr>
    </w:tbl>
    <w:p w14:paraId="57C325DB" w14:textId="77777777" w:rsidR="00F40044" w:rsidRDefault="00F40044">
      <w:pPr>
        <w:pStyle w:val="Heading2"/>
        <w:spacing w:before="600"/>
      </w:pP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ED5169">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ED516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5C09402" w:rsidR="00E66558" w:rsidRPr="00BB2080" w:rsidRDefault="000D6EA5">
            <w:pPr>
              <w:pStyle w:val="TableRowCentered"/>
              <w:jc w:val="left"/>
              <w:rPr>
                <w:color w:val="FF0000"/>
              </w:rPr>
            </w:pPr>
            <w:r>
              <w:rPr>
                <w:sz w:val="22"/>
                <w:szCs w:val="22"/>
              </w:rPr>
              <w:t xml:space="preserve">Assessments, </w:t>
            </w:r>
            <w:r w:rsidR="00AA0A44">
              <w:rPr>
                <w:sz w:val="22"/>
                <w:szCs w:val="22"/>
              </w:rPr>
              <w:t>observations,</w:t>
            </w:r>
            <w:r>
              <w:rPr>
                <w:sz w:val="22"/>
                <w:szCs w:val="22"/>
              </w:rPr>
              <w:t xml:space="preserve"> and discussions with pupils indicate under-developed oral language skills and vocabulary gaps among disadvantaged pupils.</w:t>
            </w:r>
          </w:p>
        </w:tc>
      </w:tr>
      <w:tr w:rsidR="00E66558" w14:paraId="2A7D54FB" w14:textId="77777777" w:rsidTr="00ED516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6994BF0" w:rsidR="00E66558" w:rsidRDefault="00ED5169">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DEA890" w:rsidR="00E66558" w:rsidRPr="00BB2080" w:rsidRDefault="00F915E8">
            <w:pPr>
              <w:pStyle w:val="TableRowCentered"/>
              <w:jc w:val="left"/>
              <w:rPr>
                <w:iCs/>
                <w:color w:val="FF0000"/>
                <w:sz w:val="22"/>
              </w:rPr>
            </w:pPr>
            <w:r w:rsidRPr="00D414BD">
              <w:rPr>
                <w:iCs/>
                <w:color w:val="auto"/>
                <w:sz w:val="22"/>
              </w:rPr>
              <w:t>SEMH</w:t>
            </w:r>
            <w:r w:rsidR="00ED5169" w:rsidRPr="00D414BD">
              <w:rPr>
                <w:iCs/>
                <w:color w:val="auto"/>
                <w:sz w:val="22"/>
              </w:rPr>
              <w:t xml:space="preserve"> </w:t>
            </w:r>
            <w:r w:rsidR="00B1641D" w:rsidRPr="00D414BD">
              <w:rPr>
                <w:iCs/>
                <w:color w:val="auto"/>
                <w:sz w:val="22"/>
              </w:rPr>
              <w:t>a</w:t>
            </w:r>
            <w:r w:rsidR="00ED5169" w:rsidRPr="00D414BD">
              <w:rPr>
                <w:iCs/>
                <w:color w:val="auto"/>
                <w:sz w:val="22"/>
              </w:rPr>
              <w:t xml:space="preserve">ssessments, observations and discussions with pupils and families have identified social and emotional issues for many pupils and a lack of </w:t>
            </w:r>
            <w:r w:rsidR="00AA0A44" w:rsidRPr="00D414BD">
              <w:rPr>
                <w:iCs/>
                <w:color w:val="auto"/>
                <w:sz w:val="22"/>
              </w:rPr>
              <w:t>enrichment</w:t>
            </w:r>
            <w:r w:rsidR="00ED5169" w:rsidRPr="00D414BD">
              <w:rPr>
                <w:iCs/>
                <w:color w:val="auto"/>
                <w:sz w:val="22"/>
              </w:rPr>
              <w:t xml:space="preserve"> opportunities.  These challenges particularly affect disadvantaged pupils, including their attainment.</w:t>
            </w:r>
          </w:p>
        </w:tc>
      </w:tr>
      <w:tr w:rsidR="00E66558" w14:paraId="2A7D54FE" w14:textId="77777777" w:rsidTr="00ED516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FBD9DCC" w:rsidR="00E66558" w:rsidRDefault="00ED5169">
            <w:pPr>
              <w:pStyle w:val="TableRow"/>
              <w:rPr>
                <w:sz w:val="22"/>
                <w:szCs w:val="22"/>
              </w:rPr>
            </w:pPr>
            <w:bookmarkStart w:id="16" w:name="_Toc443397160"/>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996CF69" w:rsidR="00E66558" w:rsidRPr="00BB2080" w:rsidRDefault="00AA0A44">
            <w:pPr>
              <w:pStyle w:val="TableRowCentered"/>
              <w:jc w:val="left"/>
              <w:rPr>
                <w:iCs/>
                <w:color w:val="FF0000"/>
                <w:sz w:val="22"/>
              </w:rPr>
            </w:pPr>
            <w:r w:rsidRPr="00D414BD">
              <w:rPr>
                <w:iCs/>
                <w:color w:val="auto"/>
                <w:sz w:val="22"/>
              </w:rPr>
              <w:t>P</w:t>
            </w:r>
            <w:r w:rsidR="00CA18F5" w:rsidRPr="00D414BD">
              <w:rPr>
                <w:iCs/>
                <w:color w:val="auto"/>
                <w:sz w:val="22"/>
              </w:rPr>
              <w:t xml:space="preserve">upil premium </w:t>
            </w:r>
            <w:r w:rsidRPr="00D414BD">
              <w:rPr>
                <w:iCs/>
                <w:color w:val="auto"/>
                <w:sz w:val="22"/>
              </w:rPr>
              <w:t>pupils’</w:t>
            </w:r>
            <w:r w:rsidR="00CA18F5" w:rsidRPr="00D414BD">
              <w:rPr>
                <w:iCs/>
                <w:color w:val="auto"/>
                <w:sz w:val="22"/>
              </w:rPr>
              <w:t xml:space="preserve"> attainment is below that of non-pupil premium pupils</w:t>
            </w:r>
            <w:r w:rsidR="00D414BD">
              <w:rPr>
                <w:iCs/>
                <w:color w:val="auto"/>
                <w:sz w:val="22"/>
              </w:rPr>
              <w:t xml:space="preserve"> in Reading, Writing and Maths at expected and greater depth standards.</w:t>
            </w:r>
          </w:p>
        </w:tc>
      </w:tr>
      <w:tr w:rsidR="007642AB" w14:paraId="758D4219" w14:textId="77777777" w:rsidTr="00ED516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6733" w14:textId="472DC2BA" w:rsidR="007642AB" w:rsidRDefault="007642AB">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8CA80" w14:textId="058745AA" w:rsidR="007642AB" w:rsidRDefault="007642AB">
            <w:pPr>
              <w:pStyle w:val="TableRowCentered"/>
              <w:jc w:val="left"/>
              <w:rPr>
                <w:iCs/>
                <w:color w:val="FF0000"/>
                <w:sz w:val="22"/>
              </w:rPr>
            </w:pPr>
            <w:r w:rsidRPr="00F314BE">
              <w:rPr>
                <w:iCs/>
                <w:color w:val="auto"/>
                <w:sz w:val="22"/>
              </w:rPr>
              <w:t>Our attendance data indicates that attendanc</w:t>
            </w:r>
            <w:r w:rsidR="00F314BE" w:rsidRPr="00F314BE">
              <w:rPr>
                <w:iCs/>
                <w:color w:val="auto"/>
                <w:sz w:val="22"/>
              </w:rPr>
              <w:t xml:space="preserve">e among disadvantaged pupils </w:t>
            </w:r>
            <w:proofErr w:type="gramStart"/>
            <w:r w:rsidR="00F314BE" w:rsidRPr="00F314BE">
              <w:rPr>
                <w:iCs/>
                <w:color w:val="auto"/>
                <w:sz w:val="22"/>
              </w:rPr>
              <w:t xml:space="preserve">is </w:t>
            </w:r>
            <w:r w:rsidRPr="00F314BE">
              <w:rPr>
                <w:iCs/>
                <w:color w:val="auto"/>
                <w:sz w:val="22"/>
              </w:rPr>
              <w:t xml:space="preserve"> lower</w:t>
            </w:r>
            <w:proofErr w:type="gramEnd"/>
            <w:r w:rsidRPr="00F314BE">
              <w:rPr>
                <w:iCs/>
                <w:color w:val="auto"/>
                <w:sz w:val="22"/>
              </w:rPr>
              <w:t xml:space="preserve"> than for non-disadvantaged pupils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397"/>
        <w:gridCol w:w="5089"/>
      </w:tblGrid>
      <w:tr w:rsidR="00E66558" w14:paraId="2A7D5503"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2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D0A58" w14:paraId="243798B0"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0B69" w14:textId="014734E9" w:rsidR="004D0A58" w:rsidRPr="00BB2080" w:rsidRDefault="004D0A58" w:rsidP="00F915E8">
            <w:pPr>
              <w:pStyle w:val="TableRow"/>
              <w:ind w:left="0"/>
              <w:rPr>
                <w:i/>
                <w:iCs/>
                <w:color w:val="FF0000"/>
                <w:sz w:val="22"/>
                <w:szCs w:val="22"/>
              </w:rPr>
            </w:pPr>
            <w:r>
              <w:rPr>
                <w:sz w:val="22"/>
                <w:szCs w:val="22"/>
              </w:rPr>
              <w:t>Improved oral language skills and vocabulary among disadvantaged</w:t>
            </w:r>
            <w:r w:rsidR="004D7C3C">
              <w:rPr>
                <w:sz w:val="22"/>
                <w:szCs w:val="22"/>
              </w:rPr>
              <w:t xml:space="preserve"> pupils</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A2A0" w14:textId="4DF59505" w:rsidR="004D0A58" w:rsidRPr="00D414BD" w:rsidRDefault="004D0A58">
            <w:pPr>
              <w:pStyle w:val="TableRowCentered"/>
              <w:jc w:val="left"/>
              <w:rPr>
                <w:color w:val="auto"/>
                <w:sz w:val="22"/>
                <w:szCs w:val="22"/>
              </w:rPr>
            </w:pPr>
            <w:r w:rsidRPr="00D414BD">
              <w:rPr>
                <w:color w:val="auto"/>
                <w:sz w:val="22"/>
                <w:szCs w:val="22"/>
              </w:rPr>
              <w:t>Assessments and observations indicate improved oral language among disadvantaged pupils.  This is evident when triangulated with other sources of evidence, including engagement in lessons, guided reading</w:t>
            </w:r>
            <w:r w:rsidR="00D414BD" w:rsidRPr="00D414BD">
              <w:rPr>
                <w:color w:val="auto"/>
                <w:sz w:val="22"/>
                <w:szCs w:val="22"/>
              </w:rPr>
              <w:t xml:space="preserve"> lessons,</w:t>
            </w:r>
            <w:r w:rsidRPr="00D414BD">
              <w:rPr>
                <w:color w:val="auto"/>
                <w:sz w:val="22"/>
                <w:szCs w:val="22"/>
              </w:rPr>
              <w:t xml:space="preserve"> book scrutiny and ongoing formative assessment.</w:t>
            </w:r>
          </w:p>
        </w:tc>
      </w:tr>
      <w:tr w:rsidR="00F51036" w14:paraId="6486FDDF"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D84A" w14:textId="06EB8E93" w:rsidR="00F51036" w:rsidRPr="00D8741D" w:rsidRDefault="00F51036" w:rsidP="00F915E8">
            <w:pPr>
              <w:pStyle w:val="TableRow"/>
              <w:ind w:left="0"/>
              <w:rPr>
                <w:color w:val="auto"/>
              </w:rPr>
            </w:pPr>
            <w:r w:rsidRPr="00D8741D">
              <w:rPr>
                <w:color w:val="auto"/>
              </w:rPr>
              <w:t>Improved wellbeing for all pupils in our school, particularly our disadvantaged pupils</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CCE04" w14:textId="77777777" w:rsidR="00F51036" w:rsidRPr="00D8741D" w:rsidRDefault="00F51036">
            <w:pPr>
              <w:pStyle w:val="TableRowCentered"/>
              <w:jc w:val="left"/>
              <w:rPr>
                <w:color w:val="auto"/>
                <w:sz w:val="22"/>
                <w:szCs w:val="22"/>
              </w:rPr>
            </w:pPr>
            <w:r w:rsidRPr="00D8741D">
              <w:rPr>
                <w:color w:val="auto"/>
                <w:sz w:val="22"/>
                <w:szCs w:val="22"/>
              </w:rPr>
              <w:t>Sustained high levels of wellbeing demonstrated by:</w:t>
            </w:r>
          </w:p>
          <w:p w14:paraId="3D66B5E1" w14:textId="77777777" w:rsidR="00F51036" w:rsidRPr="00D8741D" w:rsidRDefault="00F51036" w:rsidP="00F51036">
            <w:pPr>
              <w:pStyle w:val="TableRowCentered"/>
              <w:numPr>
                <w:ilvl w:val="0"/>
                <w:numId w:val="15"/>
              </w:numPr>
              <w:jc w:val="left"/>
              <w:rPr>
                <w:color w:val="auto"/>
                <w:sz w:val="22"/>
                <w:szCs w:val="22"/>
              </w:rPr>
            </w:pPr>
            <w:r w:rsidRPr="00D8741D">
              <w:rPr>
                <w:color w:val="auto"/>
                <w:sz w:val="22"/>
                <w:szCs w:val="22"/>
              </w:rPr>
              <w:t>Teacher observations, Parent and Pupil Questionnaires</w:t>
            </w:r>
          </w:p>
          <w:p w14:paraId="6591E2A2" w14:textId="5E54DDF1" w:rsidR="00F51036" w:rsidRPr="00D8741D" w:rsidRDefault="00F51036" w:rsidP="00F51036">
            <w:pPr>
              <w:pStyle w:val="TableRowCentered"/>
              <w:numPr>
                <w:ilvl w:val="0"/>
                <w:numId w:val="15"/>
              </w:numPr>
              <w:jc w:val="left"/>
              <w:rPr>
                <w:color w:val="auto"/>
                <w:sz w:val="22"/>
                <w:szCs w:val="22"/>
              </w:rPr>
            </w:pPr>
            <w:r w:rsidRPr="00D8741D">
              <w:rPr>
                <w:color w:val="auto"/>
                <w:sz w:val="22"/>
                <w:szCs w:val="22"/>
              </w:rPr>
              <w:t xml:space="preserve">Improved </w:t>
            </w:r>
            <w:r w:rsidR="00385F04" w:rsidRPr="00D8741D">
              <w:rPr>
                <w:color w:val="auto"/>
                <w:sz w:val="22"/>
                <w:szCs w:val="22"/>
              </w:rPr>
              <w:t xml:space="preserve">pupil </w:t>
            </w:r>
            <w:r w:rsidRPr="00D8741D">
              <w:rPr>
                <w:color w:val="auto"/>
                <w:sz w:val="22"/>
                <w:szCs w:val="22"/>
              </w:rPr>
              <w:t xml:space="preserve">behaviour, </w:t>
            </w:r>
            <w:r w:rsidR="00385F04" w:rsidRPr="00D8741D">
              <w:rPr>
                <w:color w:val="auto"/>
                <w:sz w:val="22"/>
                <w:szCs w:val="22"/>
              </w:rPr>
              <w:t>resilience, self-esteem and risk taking within their learning</w:t>
            </w:r>
          </w:p>
          <w:p w14:paraId="5CC73494" w14:textId="77777777" w:rsidR="00385F04" w:rsidRPr="00D8741D" w:rsidRDefault="00385F04" w:rsidP="00F51036">
            <w:pPr>
              <w:pStyle w:val="TableRowCentered"/>
              <w:numPr>
                <w:ilvl w:val="0"/>
                <w:numId w:val="15"/>
              </w:numPr>
              <w:jc w:val="left"/>
              <w:rPr>
                <w:color w:val="auto"/>
                <w:sz w:val="22"/>
                <w:szCs w:val="22"/>
              </w:rPr>
            </w:pPr>
            <w:r w:rsidRPr="00D8741D">
              <w:rPr>
                <w:color w:val="auto"/>
                <w:sz w:val="22"/>
                <w:szCs w:val="22"/>
              </w:rPr>
              <w:t>Growth mindset thinking embedded throughout the school</w:t>
            </w:r>
          </w:p>
          <w:p w14:paraId="32D1DA56" w14:textId="77777777" w:rsidR="00A86663" w:rsidRDefault="00385F04" w:rsidP="00A86663">
            <w:pPr>
              <w:pStyle w:val="TableRowCentered"/>
              <w:numPr>
                <w:ilvl w:val="0"/>
                <w:numId w:val="15"/>
              </w:numPr>
              <w:jc w:val="left"/>
              <w:rPr>
                <w:color w:val="auto"/>
                <w:sz w:val="22"/>
                <w:szCs w:val="22"/>
              </w:rPr>
            </w:pPr>
            <w:r w:rsidRPr="00D8741D">
              <w:rPr>
                <w:color w:val="auto"/>
                <w:sz w:val="22"/>
                <w:szCs w:val="22"/>
              </w:rPr>
              <w:t xml:space="preserve">Increased participation in enrichment </w:t>
            </w:r>
            <w:r w:rsidR="00061370" w:rsidRPr="00D8741D">
              <w:rPr>
                <w:color w:val="auto"/>
                <w:sz w:val="22"/>
                <w:szCs w:val="22"/>
              </w:rPr>
              <w:t>activities</w:t>
            </w:r>
            <w:r w:rsidRPr="00D8741D">
              <w:rPr>
                <w:color w:val="auto"/>
                <w:sz w:val="22"/>
                <w:szCs w:val="22"/>
              </w:rPr>
              <w:t>, particularly among disadvantaged pupils</w:t>
            </w:r>
            <w:r w:rsidR="00A86663">
              <w:rPr>
                <w:color w:val="auto"/>
                <w:sz w:val="22"/>
                <w:szCs w:val="22"/>
              </w:rPr>
              <w:t xml:space="preserve">  </w:t>
            </w:r>
          </w:p>
          <w:p w14:paraId="5FE1625A" w14:textId="7DE2119B" w:rsidR="00DC76CC" w:rsidRPr="00A86663" w:rsidRDefault="00DC76CC" w:rsidP="00A86663">
            <w:pPr>
              <w:pStyle w:val="TableRowCentered"/>
              <w:numPr>
                <w:ilvl w:val="0"/>
                <w:numId w:val="15"/>
              </w:numPr>
              <w:jc w:val="left"/>
              <w:rPr>
                <w:color w:val="auto"/>
                <w:sz w:val="22"/>
                <w:szCs w:val="22"/>
              </w:rPr>
            </w:pPr>
            <w:r w:rsidRPr="00A86663">
              <w:rPr>
                <w:color w:val="auto"/>
                <w:sz w:val="22"/>
                <w:szCs w:val="22"/>
              </w:rPr>
              <w:t>Growth mindset culture embedded across the</w:t>
            </w:r>
            <w:r w:rsidR="00A86663">
              <w:rPr>
                <w:color w:val="auto"/>
                <w:sz w:val="22"/>
                <w:szCs w:val="22"/>
              </w:rPr>
              <w:t xml:space="preserve"> s</w:t>
            </w:r>
            <w:r w:rsidRPr="00A86663">
              <w:rPr>
                <w:color w:val="auto"/>
                <w:sz w:val="22"/>
                <w:szCs w:val="22"/>
              </w:rPr>
              <w:t>chool</w:t>
            </w:r>
            <w:r w:rsidRPr="00A86663">
              <w:rPr>
                <w:color w:val="000000"/>
                <w:sz w:val="22"/>
                <w:szCs w:val="22"/>
                <w14:textFill>
                  <w14:solidFill>
                    <w14:srgbClr w14:val="000000">
                      <w14:lumMod w14:val="75000"/>
                    </w14:srgbClr>
                  </w14:solidFill>
                </w14:textFill>
              </w:rPr>
              <w:t xml:space="preserve"> </w:t>
            </w:r>
          </w:p>
        </w:tc>
      </w:tr>
      <w:tr w:rsidR="00A86663" w14:paraId="3A2CB448"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AB91" w14:textId="7349460D" w:rsidR="00A86663" w:rsidRPr="00D8741D" w:rsidRDefault="00A86663" w:rsidP="00F915E8">
            <w:pPr>
              <w:pStyle w:val="TableRow"/>
              <w:ind w:left="0"/>
              <w:rPr>
                <w:color w:val="auto"/>
              </w:rPr>
            </w:pPr>
            <w:r>
              <w:rPr>
                <w:color w:val="auto"/>
              </w:rPr>
              <w:t>Attainment in EYFS</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A821" w14:textId="0C65D46E" w:rsidR="00A86663" w:rsidRDefault="00A86663" w:rsidP="00A86663">
            <w:pPr>
              <w:pStyle w:val="TableRowCentered"/>
              <w:jc w:val="left"/>
              <w:rPr>
                <w:color w:val="auto"/>
                <w:sz w:val="22"/>
                <w:szCs w:val="22"/>
              </w:rPr>
            </w:pPr>
            <w:r>
              <w:rPr>
                <w:color w:val="auto"/>
                <w:sz w:val="22"/>
                <w:szCs w:val="22"/>
              </w:rPr>
              <w:t>The difference has diminished f</w:t>
            </w:r>
            <w:r w:rsidRPr="00D8741D">
              <w:rPr>
                <w:color w:val="auto"/>
                <w:sz w:val="22"/>
                <w:szCs w:val="22"/>
              </w:rPr>
              <w:t xml:space="preserve"> between school PP pupils and National Non-PP pupils </w:t>
            </w:r>
            <w:r>
              <w:rPr>
                <w:color w:val="auto"/>
                <w:sz w:val="22"/>
                <w:szCs w:val="22"/>
              </w:rPr>
              <w:t>in achieving a GLD</w:t>
            </w:r>
          </w:p>
        </w:tc>
      </w:tr>
      <w:tr w:rsidR="00E66558" w14:paraId="2A7D5506"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52656C4" w:rsidR="00E66558" w:rsidRPr="00D8741D" w:rsidRDefault="007C7AA9" w:rsidP="00F915E8">
            <w:pPr>
              <w:pStyle w:val="TableRow"/>
              <w:ind w:left="0"/>
              <w:rPr>
                <w:color w:val="auto"/>
              </w:rPr>
            </w:pPr>
            <w:r w:rsidRPr="00D8741D">
              <w:rPr>
                <w:color w:val="auto"/>
              </w:rPr>
              <w:t>Attainment in Reading</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FD4A521" w:rsidR="00A86663" w:rsidRPr="00D8741D" w:rsidRDefault="00A86663" w:rsidP="00A86663">
            <w:pPr>
              <w:pStyle w:val="TableRowCentered"/>
              <w:jc w:val="left"/>
              <w:rPr>
                <w:color w:val="auto"/>
                <w:sz w:val="22"/>
                <w:szCs w:val="22"/>
              </w:rPr>
            </w:pPr>
            <w:r>
              <w:rPr>
                <w:color w:val="auto"/>
                <w:sz w:val="22"/>
                <w:szCs w:val="22"/>
              </w:rPr>
              <w:t>At the end of KS1 t</w:t>
            </w:r>
            <w:r w:rsidR="00BE7764" w:rsidRPr="00D8741D">
              <w:rPr>
                <w:color w:val="auto"/>
                <w:sz w:val="22"/>
                <w:szCs w:val="22"/>
              </w:rPr>
              <w:t>he difference has diminished between school PP pupils and National Non-PP pupils in Reading at expected standard and greater depth.</w:t>
            </w:r>
          </w:p>
        </w:tc>
      </w:tr>
      <w:tr w:rsidR="00A86663" w14:paraId="5233CD1A"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7E99" w14:textId="73F770D4" w:rsidR="00A86663" w:rsidRPr="00D8741D" w:rsidRDefault="00A86663" w:rsidP="00F915E8">
            <w:pPr>
              <w:pStyle w:val="TableRow"/>
              <w:ind w:left="0"/>
              <w:rPr>
                <w:color w:val="auto"/>
              </w:rPr>
            </w:pPr>
            <w:r>
              <w:rPr>
                <w:color w:val="auto"/>
              </w:rPr>
              <w:t>Attainment in Phonics</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94D7" w14:textId="13C71C5A" w:rsidR="00A86663" w:rsidRDefault="00A86663" w:rsidP="00A86663">
            <w:pPr>
              <w:pStyle w:val="TableRowCentered"/>
              <w:jc w:val="left"/>
              <w:rPr>
                <w:color w:val="auto"/>
                <w:sz w:val="22"/>
                <w:szCs w:val="22"/>
              </w:rPr>
            </w:pPr>
            <w:r>
              <w:rPr>
                <w:color w:val="auto"/>
                <w:sz w:val="22"/>
                <w:szCs w:val="22"/>
              </w:rPr>
              <w:t>The difference has diminished f</w:t>
            </w:r>
            <w:r w:rsidRPr="00D8741D">
              <w:rPr>
                <w:color w:val="auto"/>
                <w:sz w:val="22"/>
                <w:szCs w:val="22"/>
              </w:rPr>
              <w:t xml:space="preserve"> between school PP pupils and National Non-PP pupils in </w:t>
            </w:r>
            <w:r>
              <w:rPr>
                <w:color w:val="auto"/>
                <w:sz w:val="22"/>
                <w:szCs w:val="22"/>
              </w:rPr>
              <w:t xml:space="preserve">the Phonics Screening Test in Year 1 and Year 2. </w:t>
            </w:r>
            <w:r w:rsidRPr="00D8741D">
              <w:rPr>
                <w:color w:val="auto"/>
                <w:sz w:val="22"/>
                <w:szCs w:val="22"/>
              </w:rPr>
              <w:t xml:space="preserve"> </w:t>
            </w:r>
          </w:p>
        </w:tc>
      </w:tr>
      <w:tr w:rsidR="00BE7764" w14:paraId="2A7D5509"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402E3EC" w:rsidR="00BE7764" w:rsidRPr="00D8741D" w:rsidRDefault="007C7AA9" w:rsidP="007C7AA9">
            <w:pPr>
              <w:pStyle w:val="TableRow"/>
              <w:ind w:left="0"/>
              <w:rPr>
                <w:color w:val="auto"/>
                <w:sz w:val="22"/>
                <w:szCs w:val="22"/>
              </w:rPr>
            </w:pPr>
            <w:r w:rsidRPr="00D8741D">
              <w:rPr>
                <w:color w:val="auto"/>
                <w:sz w:val="22"/>
                <w:szCs w:val="22"/>
              </w:rPr>
              <w:t>Attainment in Writing</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DEBDABF" w:rsidR="00687CCE" w:rsidRPr="00D8741D" w:rsidRDefault="00A86663" w:rsidP="00CB2631">
            <w:pPr>
              <w:pStyle w:val="TableRowCentered"/>
              <w:jc w:val="left"/>
              <w:rPr>
                <w:color w:val="auto"/>
                <w:sz w:val="22"/>
                <w:szCs w:val="22"/>
              </w:rPr>
            </w:pPr>
            <w:r>
              <w:rPr>
                <w:color w:val="auto"/>
                <w:sz w:val="22"/>
                <w:szCs w:val="22"/>
              </w:rPr>
              <w:t>At the end of KS1 t</w:t>
            </w:r>
            <w:r w:rsidR="00BE7764" w:rsidRPr="00D8741D">
              <w:rPr>
                <w:color w:val="auto"/>
                <w:sz w:val="22"/>
                <w:szCs w:val="22"/>
              </w:rPr>
              <w:t>he difference has diminished between school PP pupils and National Non-PP pupils in Writing at expected standard and greater depth.</w:t>
            </w:r>
          </w:p>
        </w:tc>
      </w:tr>
      <w:tr w:rsidR="00BE7764" w14:paraId="2A7D550C"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3BF1936" w:rsidR="00BE7764" w:rsidRPr="00D8741D" w:rsidRDefault="007C7AA9" w:rsidP="00BE7764">
            <w:pPr>
              <w:pStyle w:val="TableRow"/>
              <w:rPr>
                <w:color w:val="auto"/>
                <w:sz w:val="22"/>
                <w:szCs w:val="22"/>
              </w:rPr>
            </w:pPr>
            <w:r w:rsidRPr="00D8741D">
              <w:rPr>
                <w:color w:val="auto"/>
                <w:sz w:val="22"/>
                <w:szCs w:val="22"/>
              </w:rPr>
              <w:t>Attainment in Maths</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C5F7044" w:rsidR="00687CCE" w:rsidRPr="00D8741D" w:rsidRDefault="00A86663" w:rsidP="00CB2631">
            <w:pPr>
              <w:pStyle w:val="TableRowCentered"/>
              <w:jc w:val="left"/>
              <w:rPr>
                <w:color w:val="auto"/>
                <w:sz w:val="22"/>
                <w:szCs w:val="22"/>
              </w:rPr>
            </w:pPr>
            <w:r>
              <w:rPr>
                <w:color w:val="auto"/>
                <w:sz w:val="22"/>
                <w:szCs w:val="22"/>
              </w:rPr>
              <w:t>At the end of KS1 t</w:t>
            </w:r>
            <w:r w:rsidR="00BE7764" w:rsidRPr="00D8741D">
              <w:rPr>
                <w:color w:val="auto"/>
                <w:sz w:val="22"/>
                <w:szCs w:val="22"/>
              </w:rPr>
              <w:t>he difference has diminished between school PP pupils and National Non-PP pupils in Maths at expected standard and greater depth.</w:t>
            </w:r>
          </w:p>
        </w:tc>
      </w:tr>
      <w:tr w:rsidR="00BE7764" w14:paraId="5DE16D3A" w14:textId="77777777" w:rsidTr="004D0A5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0470" w14:textId="5DC69B0E" w:rsidR="00BE7764" w:rsidRPr="00D8741D" w:rsidRDefault="00061370" w:rsidP="00BE7764">
            <w:pPr>
              <w:pStyle w:val="TableRow"/>
              <w:rPr>
                <w:color w:val="auto"/>
                <w:sz w:val="22"/>
                <w:szCs w:val="22"/>
              </w:rPr>
            </w:pPr>
            <w:r w:rsidRPr="00D8741D">
              <w:rPr>
                <w:color w:val="auto"/>
                <w:sz w:val="22"/>
                <w:szCs w:val="22"/>
              </w:rPr>
              <w:t>Improved Attendance</w:t>
            </w:r>
          </w:p>
        </w:tc>
        <w:tc>
          <w:tcPr>
            <w:tcW w:w="5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9279B" w14:textId="7270E6CC" w:rsidR="00687CCE" w:rsidRPr="00D8741D" w:rsidRDefault="00061370" w:rsidP="00CB2631">
            <w:pPr>
              <w:pStyle w:val="TableRowCentered"/>
              <w:jc w:val="left"/>
              <w:rPr>
                <w:color w:val="auto"/>
                <w:sz w:val="22"/>
                <w:szCs w:val="22"/>
              </w:rPr>
            </w:pPr>
            <w:r w:rsidRPr="00D8741D">
              <w:rPr>
                <w:color w:val="auto"/>
                <w:sz w:val="22"/>
                <w:szCs w:val="22"/>
              </w:rPr>
              <w:t xml:space="preserve">Attendance of disadvantaged pupils is </w:t>
            </w:r>
            <w:r w:rsidR="00D8741D" w:rsidRPr="00D8741D">
              <w:rPr>
                <w:color w:val="auto"/>
                <w:sz w:val="22"/>
                <w:szCs w:val="22"/>
              </w:rPr>
              <w:t xml:space="preserve">95% which is in line with National non pupil premium </w:t>
            </w:r>
            <w:proofErr w:type="gramStart"/>
            <w:r w:rsidR="00D8741D" w:rsidRPr="00D8741D">
              <w:rPr>
                <w:color w:val="auto"/>
                <w:sz w:val="22"/>
                <w:szCs w:val="22"/>
              </w:rPr>
              <w:t>pupils</w:t>
            </w:r>
            <w:proofErr w:type="gramEnd"/>
            <w:r w:rsidR="00D8741D" w:rsidRPr="00D8741D">
              <w:rPr>
                <w:color w:val="auto"/>
                <w:sz w:val="22"/>
                <w:szCs w:val="22"/>
              </w:rPr>
              <w:t xml:space="preserve"> attendance rate.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CBA8D83" w:rsidR="00E66558" w:rsidRPr="00A86663" w:rsidRDefault="00A86663">
      <w:pPr>
        <w:rPr>
          <w:color w:val="auto"/>
        </w:rPr>
      </w:pPr>
      <w:r w:rsidRPr="00A86663">
        <w:rPr>
          <w:color w:val="auto"/>
        </w:rPr>
        <w:t xml:space="preserve">Budgeted Cost:  </w:t>
      </w:r>
      <w:r w:rsidR="00514AA9" w:rsidRPr="00A86663">
        <w:rPr>
          <w:color w:val="auto"/>
        </w:rPr>
        <w:t>£</w:t>
      </w:r>
      <w:r w:rsidRPr="00A86663">
        <w:rPr>
          <w:color w:val="auto"/>
        </w:rPr>
        <w:t>34,275</w:t>
      </w:r>
    </w:p>
    <w:p w14:paraId="1742BFD3" w14:textId="77777777" w:rsidR="005F692B" w:rsidRPr="00705344" w:rsidRDefault="005F692B">
      <w:pPr>
        <w:rPr>
          <w:b/>
          <w:bCs/>
          <w:color w:val="76923C" w:themeColor="accent3" w:themeShade="BF"/>
        </w:rPr>
      </w:pPr>
    </w:p>
    <w:tbl>
      <w:tblPr>
        <w:tblW w:w="5000" w:type="pct"/>
        <w:tblCellMar>
          <w:left w:w="10" w:type="dxa"/>
          <w:right w:w="10" w:type="dxa"/>
        </w:tblCellMar>
        <w:tblLook w:val="04A0" w:firstRow="1" w:lastRow="0" w:firstColumn="1" w:lastColumn="0" w:noHBand="0" w:noVBand="1"/>
      </w:tblPr>
      <w:tblGrid>
        <w:gridCol w:w="2263"/>
        <w:gridCol w:w="5670"/>
        <w:gridCol w:w="1553"/>
      </w:tblGrid>
      <w:tr w:rsidR="00410ED5" w14:paraId="2A7D5519"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10ED5" w14:paraId="2A7D551D"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98F6085" w:rsidR="004B46E3" w:rsidRPr="007F6FAF" w:rsidRDefault="00BB2080" w:rsidP="00BB2080">
            <w:pPr>
              <w:pStyle w:val="TableRow"/>
              <w:ind w:left="0"/>
              <w:rPr>
                <w:color w:val="auto"/>
                <w:sz w:val="22"/>
                <w:szCs w:val="22"/>
              </w:rPr>
            </w:pPr>
            <w:r w:rsidRPr="007F6FAF">
              <w:rPr>
                <w:color w:val="auto"/>
                <w:sz w:val="22"/>
                <w:szCs w:val="22"/>
              </w:rPr>
              <w:t>Standardised diagnostic assessment</w:t>
            </w:r>
            <w:r w:rsidR="00C26D62" w:rsidRPr="007F6FAF">
              <w:rPr>
                <w:color w:val="auto"/>
                <w:sz w:val="22"/>
                <w:szCs w:val="22"/>
              </w:rPr>
              <w:t xml:space="preserve"> </w:t>
            </w:r>
            <w:r w:rsidR="004B46E3">
              <w:rPr>
                <w:color w:val="auto"/>
                <w:sz w:val="22"/>
                <w:szCs w:val="22"/>
              </w:rPr>
              <w:t xml:space="preserve">(Language Screen &amp; NELI) </w:t>
            </w:r>
            <w:r w:rsidRPr="007F6FAF">
              <w:rPr>
                <w:color w:val="auto"/>
                <w:sz w:val="22"/>
                <w:szCs w:val="22"/>
              </w:rPr>
              <w:t xml:space="preserve">Training for staff to </w:t>
            </w:r>
            <w:r w:rsidR="00C26D62" w:rsidRPr="007F6FAF">
              <w:rPr>
                <w:color w:val="auto"/>
                <w:sz w:val="22"/>
                <w:szCs w:val="22"/>
              </w:rPr>
              <w:t xml:space="preserve">administer </w:t>
            </w:r>
            <w:r w:rsidRPr="007F6FAF">
              <w:rPr>
                <w:color w:val="auto"/>
                <w:sz w:val="22"/>
                <w:szCs w:val="22"/>
              </w:rPr>
              <w:t>assessments</w:t>
            </w:r>
            <w:r w:rsidR="00C26D62" w:rsidRPr="007F6FAF">
              <w:rPr>
                <w:color w:val="auto"/>
                <w:sz w:val="22"/>
                <w:szCs w:val="22"/>
              </w:rPr>
              <w:t xml:space="preserve">, set targets and </w:t>
            </w:r>
            <w:r w:rsidR="00F01F36" w:rsidRPr="007F6FAF">
              <w:rPr>
                <w:color w:val="auto"/>
                <w:sz w:val="22"/>
                <w:szCs w:val="22"/>
              </w:rPr>
              <w:t xml:space="preserve">deliver </w:t>
            </w:r>
            <w:r w:rsidR="00C26D62" w:rsidRPr="007F6FAF">
              <w:rPr>
                <w:color w:val="auto"/>
                <w:sz w:val="22"/>
                <w:szCs w:val="22"/>
              </w:rPr>
              <w:t>intervention.</w:t>
            </w:r>
            <w:r w:rsidRPr="007F6FAF">
              <w:rPr>
                <w:color w:val="auto"/>
                <w:sz w:val="22"/>
                <w:szCs w:val="22"/>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7193" w14:textId="753A2060" w:rsidR="00E66558" w:rsidRPr="007F6FAF" w:rsidRDefault="00CA3ACF">
            <w:pPr>
              <w:pStyle w:val="TableRowCentered"/>
              <w:jc w:val="left"/>
              <w:rPr>
                <w:color w:val="auto"/>
                <w:sz w:val="22"/>
              </w:rPr>
            </w:pPr>
            <w:r w:rsidRPr="007F6FAF">
              <w:rPr>
                <w:color w:val="auto"/>
                <w:sz w:val="22"/>
              </w:rPr>
              <w:t xml:space="preserve">Standardised tests can provide reliable </w:t>
            </w:r>
            <w:r w:rsidR="00C26D62" w:rsidRPr="007F6FAF">
              <w:rPr>
                <w:color w:val="auto"/>
                <w:sz w:val="22"/>
              </w:rPr>
              <w:t>insights</w:t>
            </w:r>
            <w:r w:rsidRPr="007F6FAF">
              <w:rPr>
                <w:color w:val="auto"/>
                <w:sz w:val="22"/>
              </w:rPr>
              <w:t xml:space="preserve"> into the specific </w:t>
            </w:r>
            <w:r w:rsidR="00C26D62" w:rsidRPr="007F6FAF">
              <w:rPr>
                <w:color w:val="auto"/>
                <w:sz w:val="22"/>
              </w:rPr>
              <w:t>strengths</w:t>
            </w:r>
            <w:r w:rsidRPr="007F6FAF">
              <w:rPr>
                <w:color w:val="auto"/>
                <w:sz w:val="22"/>
              </w:rPr>
              <w:t xml:space="preserve"> and weaknesses of each pupil to help ensure they receive the correct </w:t>
            </w:r>
            <w:r w:rsidR="00C26D62" w:rsidRPr="007F6FAF">
              <w:rPr>
                <w:color w:val="auto"/>
                <w:sz w:val="22"/>
              </w:rPr>
              <w:t>additional</w:t>
            </w:r>
            <w:r w:rsidRPr="007F6FAF">
              <w:rPr>
                <w:color w:val="auto"/>
                <w:sz w:val="22"/>
              </w:rPr>
              <w:t xml:space="preserve"> support through </w:t>
            </w:r>
            <w:r w:rsidR="00C26D62" w:rsidRPr="007F6FAF">
              <w:rPr>
                <w:color w:val="auto"/>
                <w:sz w:val="22"/>
              </w:rPr>
              <w:t>interventions</w:t>
            </w:r>
            <w:r w:rsidRPr="007F6FAF">
              <w:rPr>
                <w:color w:val="auto"/>
                <w:sz w:val="22"/>
              </w:rPr>
              <w:t xml:space="preserve"> or teacher instruction</w:t>
            </w:r>
          </w:p>
          <w:p w14:paraId="44ACA5DA" w14:textId="77777777" w:rsidR="00CA3ACF" w:rsidRPr="007F6FAF" w:rsidRDefault="00CA3ACF">
            <w:pPr>
              <w:pStyle w:val="TableRowCentered"/>
              <w:jc w:val="left"/>
              <w:rPr>
                <w:color w:val="auto"/>
                <w:sz w:val="22"/>
              </w:rPr>
            </w:pPr>
          </w:p>
          <w:p w14:paraId="48318130" w14:textId="77777777" w:rsidR="00CA3ACF" w:rsidRDefault="00CA3ACF">
            <w:pPr>
              <w:pStyle w:val="TableRowCentered"/>
              <w:jc w:val="left"/>
              <w:rPr>
                <w:i/>
                <w:iCs/>
                <w:color w:val="auto"/>
                <w:sz w:val="22"/>
              </w:rPr>
            </w:pPr>
            <w:r w:rsidRPr="007F6FAF">
              <w:rPr>
                <w:i/>
                <w:iCs/>
                <w:color w:val="auto"/>
                <w:sz w:val="22"/>
              </w:rPr>
              <w:t>Standardized tests Assessing and Monitoring Pupil Progress EEF</w:t>
            </w:r>
          </w:p>
          <w:p w14:paraId="2A7D551B" w14:textId="13BEA7EE" w:rsidR="004B46E3" w:rsidRPr="007F6FAF" w:rsidRDefault="004B46E3">
            <w:pPr>
              <w:pStyle w:val="TableRowCentered"/>
              <w:jc w:val="left"/>
              <w:rPr>
                <w:i/>
                <w:iCs/>
                <w:color w:val="auto"/>
                <w:sz w:val="22"/>
              </w:rPr>
            </w:pPr>
            <w:r w:rsidRPr="004B46E3">
              <w:rPr>
                <w:i/>
                <w:iCs/>
                <w:color w:val="auto"/>
                <w:sz w:val="22"/>
              </w:rPr>
              <w:t>https://www.teachneli.org/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F36A54B" w:rsidR="00E66558" w:rsidRPr="007F6FAF" w:rsidRDefault="000D6EA5">
            <w:pPr>
              <w:pStyle w:val="TableRowCentered"/>
              <w:jc w:val="left"/>
              <w:rPr>
                <w:color w:val="auto"/>
                <w:sz w:val="22"/>
              </w:rPr>
            </w:pPr>
            <w:r w:rsidRPr="007F6FAF">
              <w:rPr>
                <w:color w:val="auto"/>
                <w:sz w:val="22"/>
              </w:rPr>
              <w:t>1</w:t>
            </w:r>
          </w:p>
        </w:tc>
      </w:tr>
      <w:tr w:rsidR="004B46E3" w14:paraId="64E8B9CC"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CF82" w14:textId="5C64D6C0" w:rsidR="004B46E3" w:rsidRPr="007F6FAF" w:rsidRDefault="004B46E3" w:rsidP="00BB2080">
            <w:pPr>
              <w:pStyle w:val="TableRow"/>
              <w:ind w:left="0"/>
              <w:rPr>
                <w:color w:val="auto"/>
                <w:sz w:val="22"/>
                <w:szCs w:val="22"/>
              </w:rPr>
            </w:pPr>
            <w:r>
              <w:rPr>
                <w:color w:val="auto"/>
                <w:sz w:val="22"/>
                <w:szCs w:val="22"/>
              </w:rPr>
              <w:t>Words First – speech and language programme and support.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BEC4A" w14:textId="77777777" w:rsidR="004B46E3" w:rsidRDefault="004B46E3">
            <w:pPr>
              <w:pStyle w:val="TableRowCentered"/>
              <w:jc w:val="left"/>
              <w:rPr>
                <w:color w:val="auto"/>
                <w:sz w:val="22"/>
              </w:rPr>
            </w:pPr>
          </w:p>
          <w:p w14:paraId="35226826" w14:textId="0B4DEDE4" w:rsidR="004B46E3" w:rsidRPr="004B46E3" w:rsidRDefault="004B46E3">
            <w:pPr>
              <w:pStyle w:val="TableRowCentered"/>
              <w:jc w:val="left"/>
              <w:rPr>
                <w:i/>
                <w:color w:val="auto"/>
                <w:sz w:val="22"/>
              </w:rPr>
            </w:pPr>
            <w:r w:rsidRPr="004B46E3">
              <w:rPr>
                <w:color w:val="auto"/>
                <w:sz w:val="22"/>
              </w:rPr>
              <w:t>https://www.wordsfirst.uk/</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23CF2" w14:textId="2994B005" w:rsidR="004B46E3" w:rsidRPr="007F6FAF" w:rsidRDefault="004B46E3">
            <w:pPr>
              <w:pStyle w:val="TableRowCentered"/>
              <w:jc w:val="left"/>
              <w:rPr>
                <w:color w:val="auto"/>
                <w:sz w:val="22"/>
              </w:rPr>
            </w:pPr>
            <w:r>
              <w:rPr>
                <w:color w:val="auto"/>
                <w:sz w:val="22"/>
              </w:rPr>
              <w:t>1</w:t>
            </w:r>
          </w:p>
        </w:tc>
      </w:tr>
      <w:tr w:rsidR="00C26D62" w14:paraId="1328285A"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9DBA" w14:textId="3E77F86E" w:rsidR="00C26D62" w:rsidRPr="007F6FAF" w:rsidRDefault="00C26D62" w:rsidP="00BB2080">
            <w:pPr>
              <w:pStyle w:val="TableRow"/>
              <w:ind w:left="0"/>
              <w:rPr>
                <w:color w:val="auto"/>
                <w:sz w:val="22"/>
                <w:szCs w:val="22"/>
              </w:rPr>
            </w:pPr>
            <w:r w:rsidRPr="007F6FAF">
              <w:rPr>
                <w:color w:val="auto"/>
                <w:sz w:val="22"/>
                <w:szCs w:val="22"/>
              </w:rPr>
              <w:t>Embedding dialogic activities across the school curriculum to support pupils to articulate ideas, consolidate understanding and extend vocabulary.  We will purchase resources and fund ongoing teacher training and release time.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196E" w14:textId="55168C49" w:rsidR="00C26D62" w:rsidRPr="007F6FAF" w:rsidRDefault="00C26D62">
            <w:pPr>
              <w:pStyle w:val="TableRowCentered"/>
              <w:jc w:val="left"/>
              <w:rPr>
                <w:color w:val="auto"/>
                <w:sz w:val="22"/>
              </w:rPr>
            </w:pPr>
            <w:r w:rsidRPr="007F6FAF">
              <w:rPr>
                <w:color w:val="auto"/>
                <w:sz w:val="22"/>
              </w:rPr>
              <w:t>There is strong evidence that oral language interventions</w:t>
            </w:r>
            <w:r w:rsidR="00410ED5" w:rsidRPr="007F6FAF">
              <w:rPr>
                <w:color w:val="auto"/>
                <w:sz w:val="22"/>
              </w:rPr>
              <w:t xml:space="preserve"> including dialogic activities such as high-quality classroom discussion, have high impacts on pupils learning.</w:t>
            </w:r>
          </w:p>
          <w:p w14:paraId="424CF782" w14:textId="77777777" w:rsidR="00410ED5" w:rsidRPr="007F6FAF" w:rsidRDefault="00410ED5">
            <w:pPr>
              <w:pStyle w:val="TableRowCentered"/>
              <w:jc w:val="left"/>
              <w:rPr>
                <w:color w:val="auto"/>
                <w:sz w:val="22"/>
              </w:rPr>
            </w:pPr>
          </w:p>
          <w:p w14:paraId="7C21C3C1" w14:textId="44FAE1BD" w:rsidR="00410ED5" w:rsidRPr="007F6FAF" w:rsidRDefault="00410ED5">
            <w:pPr>
              <w:pStyle w:val="TableRowCentered"/>
              <w:jc w:val="left"/>
              <w:rPr>
                <w:i/>
                <w:iCs/>
                <w:color w:val="auto"/>
                <w:sz w:val="22"/>
              </w:rPr>
            </w:pPr>
            <w:r w:rsidRPr="007F6FAF">
              <w:rPr>
                <w:i/>
                <w:iCs/>
                <w:color w:val="auto"/>
                <w:sz w:val="22"/>
              </w:rPr>
              <w:t>Oral language interventions Toolkit Strand EEF</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C57D" w14:textId="041F124D" w:rsidR="00C26D62" w:rsidRPr="007F6FAF" w:rsidRDefault="00410ED5" w:rsidP="00410ED5">
            <w:pPr>
              <w:pStyle w:val="TableRowCentered"/>
              <w:ind w:left="0"/>
              <w:jc w:val="left"/>
              <w:rPr>
                <w:color w:val="auto"/>
                <w:sz w:val="22"/>
              </w:rPr>
            </w:pPr>
            <w:proofErr w:type="gramStart"/>
            <w:r w:rsidRPr="007F6FAF">
              <w:rPr>
                <w:color w:val="auto"/>
                <w:sz w:val="22"/>
              </w:rPr>
              <w:t>1</w:t>
            </w:r>
            <w:r w:rsidR="001E3434" w:rsidRPr="007F6FAF">
              <w:rPr>
                <w:color w:val="auto"/>
                <w:sz w:val="22"/>
              </w:rPr>
              <w:t xml:space="preserve">  </w:t>
            </w:r>
            <w:r w:rsidR="00C8066E" w:rsidRPr="007F6FAF">
              <w:rPr>
                <w:color w:val="auto"/>
                <w:sz w:val="22"/>
              </w:rPr>
              <w:t>3</w:t>
            </w:r>
            <w:proofErr w:type="gramEnd"/>
            <w:r w:rsidR="00D8741D" w:rsidRPr="007F6FAF">
              <w:rPr>
                <w:color w:val="auto"/>
                <w:sz w:val="22"/>
              </w:rPr>
              <w:t xml:space="preserve">  2</w:t>
            </w:r>
          </w:p>
        </w:tc>
      </w:tr>
      <w:tr w:rsidR="00410ED5" w14:paraId="2A7D5521"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AE0EAF4" w:rsidR="00E66558" w:rsidRPr="007F6FAF" w:rsidRDefault="005E4439">
            <w:pPr>
              <w:pStyle w:val="TableRow"/>
              <w:rPr>
                <w:iCs/>
                <w:color w:val="auto"/>
                <w:sz w:val="22"/>
              </w:rPr>
            </w:pPr>
            <w:r w:rsidRPr="007F6FAF">
              <w:rPr>
                <w:iCs/>
                <w:color w:val="auto"/>
                <w:sz w:val="22"/>
              </w:rPr>
              <w:t>SEL approaches will be embedded into routine educational practices and supported by professional development and training for staff.</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EBD5" w14:textId="77777777" w:rsidR="00E66558" w:rsidRPr="007F6FAF" w:rsidRDefault="005E4439">
            <w:pPr>
              <w:pStyle w:val="TableRowCentered"/>
              <w:jc w:val="left"/>
              <w:rPr>
                <w:color w:val="auto"/>
                <w:sz w:val="22"/>
              </w:rPr>
            </w:pPr>
            <w:r w:rsidRPr="007F6FAF">
              <w:rPr>
                <w:color w:val="auto"/>
                <w:sz w:val="22"/>
              </w:rPr>
              <w:t>There is extensive evidence associating childhood social and emotional skills with improved outcomes at school and in later life.</w:t>
            </w:r>
          </w:p>
          <w:p w14:paraId="088B24D9" w14:textId="77777777" w:rsidR="005E4439" w:rsidRPr="007F6FAF" w:rsidRDefault="005E4439">
            <w:pPr>
              <w:pStyle w:val="TableRowCentered"/>
              <w:jc w:val="left"/>
              <w:rPr>
                <w:color w:val="auto"/>
                <w:sz w:val="22"/>
              </w:rPr>
            </w:pPr>
          </w:p>
          <w:p w14:paraId="2E5C3DE6" w14:textId="77777777" w:rsidR="005E4439" w:rsidRDefault="005E4439">
            <w:pPr>
              <w:pStyle w:val="TableRowCentered"/>
              <w:jc w:val="left"/>
              <w:rPr>
                <w:i/>
                <w:iCs/>
                <w:color w:val="auto"/>
                <w:sz w:val="22"/>
              </w:rPr>
            </w:pPr>
            <w:r w:rsidRPr="007F6FAF">
              <w:rPr>
                <w:i/>
                <w:iCs/>
                <w:color w:val="auto"/>
                <w:sz w:val="22"/>
              </w:rPr>
              <w:t>EEF Social and Emotional Learning.pdf(educationendowmentfoundation.org.uk)</w:t>
            </w:r>
          </w:p>
          <w:p w14:paraId="020C9A49" w14:textId="77777777" w:rsidR="00CB2631" w:rsidRDefault="00CB2631">
            <w:pPr>
              <w:pStyle w:val="TableRowCentered"/>
              <w:jc w:val="left"/>
              <w:rPr>
                <w:i/>
                <w:iCs/>
                <w:color w:val="auto"/>
                <w:sz w:val="22"/>
              </w:rPr>
            </w:pPr>
          </w:p>
          <w:p w14:paraId="2A7D551F" w14:textId="76AA5750" w:rsidR="00CB2631" w:rsidRPr="00CB2631" w:rsidRDefault="00CB2631" w:rsidP="00CB2631">
            <w:pPr>
              <w:pStyle w:val="TableRowCentered"/>
              <w:jc w:val="left"/>
              <w:rPr>
                <w:i/>
                <w:iCs/>
                <w:color w:val="76923C" w:themeColor="accent3" w:themeShade="BF"/>
                <w:sz w:val="22"/>
              </w:rPr>
            </w:pPr>
            <w:proofErr w:type="spellStart"/>
            <w:r w:rsidRPr="00A86663">
              <w:rPr>
                <w:i/>
                <w:iCs/>
                <w:color w:val="auto"/>
                <w:sz w:val="22"/>
              </w:rPr>
              <w:t>MyHappmind</w:t>
            </w:r>
            <w:proofErr w:type="spellEnd"/>
            <w:r w:rsidRPr="00A86663">
              <w:rPr>
                <w:i/>
                <w:iCs/>
                <w:color w:val="auto"/>
                <w:sz w:val="22"/>
              </w:rPr>
              <w:t xml:space="preserve"> (myhappymind.org)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3621318" w:rsidR="00E66558" w:rsidRPr="007F6FAF" w:rsidRDefault="005E4439">
            <w:pPr>
              <w:pStyle w:val="TableRowCentered"/>
              <w:jc w:val="left"/>
              <w:rPr>
                <w:color w:val="auto"/>
                <w:sz w:val="22"/>
              </w:rPr>
            </w:pPr>
            <w:proofErr w:type="gramStart"/>
            <w:r w:rsidRPr="007F6FAF">
              <w:rPr>
                <w:color w:val="auto"/>
                <w:sz w:val="22"/>
              </w:rPr>
              <w:t>2</w:t>
            </w:r>
            <w:r w:rsidR="005F69B8" w:rsidRPr="007F6FAF">
              <w:rPr>
                <w:color w:val="auto"/>
                <w:sz w:val="22"/>
              </w:rPr>
              <w:t xml:space="preserve">  3</w:t>
            </w:r>
            <w:proofErr w:type="gramEnd"/>
          </w:p>
        </w:tc>
      </w:tr>
      <w:tr w:rsidR="00410ED5" w:rsidRPr="007F6FAF" w14:paraId="22048427" w14:textId="77777777" w:rsidTr="00410ED5">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2DF" w14:textId="4761D807" w:rsidR="000A5A14" w:rsidRPr="007F6FAF" w:rsidRDefault="000A5A14">
            <w:pPr>
              <w:pStyle w:val="TableRow"/>
              <w:rPr>
                <w:iCs/>
                <w:color w:val="auto"/>
                <w:sz w:val="22"/>
              </w:rPr>
            </w:pPr>
            <w:r w:rsidRPr="007F6FAF">
              <w:rPr>
                <w:iCs/>
                <w:color w:val="auto"/>
                <w:sz w:val="22"/>
              </w:rPr>
              <w:t xml:space="preserve">One day whole school staff training on </w:t>
            </w:r>
            <w:r w:rsidR="0070342A">
              <w:rPr>
                <w:iCs/>
                <w:color w:val="auto"/>
                <w:sz w:val="22"/>
              </w:rPr>
              <w:t>The Power of Formative Assessment</w:t>
            </w:r>
            <w:r w:rsidRPr="007F6FAF">
              <w:rPr>
                <w:iCs/>
                <w:color w:val="auto"/>
                <w:sz w:val="22"/>
              </w:rPr>
              <w:t xml:space="preserve"> to develop teaching and learning strategies and techniques which form a structure within which to create effective feedback opportunities.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C3A" w14:textId="77777777" w:rsidR="000A5A14" w:rsidRDefault="000A5A14">
            <w:pPr>
              <w:pStyle w:val="TableRowCentered"/>
              <w:jc w:val="left"/>
              <w:rPr>
                <w:color w:val="auto"/>
                <w:sz w:val="22"/>
              </w:rPr>
            </w:pPr>
            <w:r w:rsidRPr="007F6FAF">
              <w:rPr>
                <w:color w:val="auto"/>
                <w:sz w:val="22"/>
              </w:rPr>
              <w:t>Extensive research shows that feedback is a powerful tool but not always effective in closing the learning gap.</w:t>
            </w:r>
          </w:p>
          <w:p w14:paraId="75B914FE" w14:textId="77777777" w:rsidR="00CB2631" w:rsidRDefault="00CB2631">
            <w:pPr>
              <w:pStyle w:val="TableRowCentered"/>
              <w:jc w:val="left"/>
              <w:rPr>
                <w:color w:val="auto"/>
                <w:sz w:val="22"/>
              </w:rPr>
            </w:pPr>
          </w:p>
          <w:p w14:paraId="4AFBD4C4" w14:textId="77777777" w:rsidR="00CB2631" w:rsidRPr="00A86663" w:rsidRDefault="00CB2631">
            <w:pPr>
              <w:pStyle w:val="TableRowCentered"/>
              <w:jc w:val="left"/>
              <w:rPr>
                <w:color w:val="auto"/>
                <w:sz w:val="22"/>
              </w:rPr>
            </w:pPr>
            <w:r w:rsidRPr="00A86663">
              <w:rPr>
                <w:color w:val="auto"/>
                <w:sz w:val="22"/>
              </w:rPr>
              <w:t xml:space="preserve">Shirley Clarke Whole Staff Inset </w:t>
            </w:r>
          </w:p>
          <w:p w14:paraId="48F4DFAB" w14:textId="7100FD8B" w:rsidR="00CB2631" w:rsidRPr="007F6FAF" w:rsidRDefault="00CB2631" w:rsidP="00CB2631">
            <w:pPr>
              <w:pStyle w:val="TableRowCentered"/>
              <w:ind w:left="0"/>
              <w:jc w:val="left"/>
              <w:rPr>
                <w:color w:val="auto"/>
                <w:sz w:val="22"/>
              </w:rPr>
            </w:pPr>
            <w:r w:rsidRPr="00A86663">
              <w:rPr>
                <w:color w:val="auto"/>
                <w:sz w:val="22"/>
              </w:rPr>
              <w:t xml:space="preserve"> (www.shirleyclarke-education.org)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58A38" w14:textId="6FD5DDEE" w:rsidR="00410ED5" w:rsidRPr="007F6FAF" w:rsidRDefault="00410ED5" w:rsidP="00410ED5">
            <w:pPr>
              <w:pStyle w:val="TableRowCentered"/>
              <w:ind w:left="0"/>
              <w:jc w:val="left"/>
              <w:rPr>
                <w:color w:val="auto"/>
                <w:sz w:val="22"/>
              </w:rPr>
            </w:pPr>
            <w:proofErr w:type="gramStart"/>
            <w:r w:rsidRPr="007F6FAF">
              <w:rPr>
                <w:color w:val="auto"/>
                <w:sz w:val="22"/>
              </w:rPr>
              <w:t>1  2</w:t>
            </w:r>
            <w:proofErr w:type="gramEnd"/>
            <w:r w:rsidRPr="007F6FAF">
              <w:rPr>
                <w:color w:val="auto"/>
                <w:sz w:val="22"/>
              </w:rPr>
              <w:t xml:space="preserve">  3</w:t>
            </w:r>
          </w:p>
        </w:tc>
      </w:tr>
    </w:tbl>
    <w:p w14:paraId="2A7D5522" w14:textId="77777777" w:rsidR="00E66558" w:rsidRPr="007F6FAF" w:rsidRDefault="00E66558">
      <w:pPr>
        <w:keepNext/>
        <w:spacing w:after="60"/>
        <w:outlineLvl w:val="1"/>
        <w:rPr>
          <w:color w:val="auto"/>
        </w:rPr>
      </w:pPr>
    </w:p>
    <w:p w14:paraId="47407616" w14:textId="77777777" w:rsidR="00A50890" w:rsidRDefault="00A50890">
      <w:pPr>
        <w:keepNext/>
        <w:spacing w:after="60"/>
        <w:outlineLvl w:val="1"/>
      </w:pPr>
    </w:p>
    <w:p w14:paraId="0EFF11FF" w14:textId="77777777" w:rsidR="00A50890" w:rsidRDefault="00A50890">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2D0E04A" w:rsidR="00E66558" w:rsidRPr="00A86663" w:rsidRDefault="009D71E8">
      <w:pPr>
        <w:rPr>
          <w:color w:val="auto"/>
        </w:rPr>
      </w:pPr>
      <w:r w:rsidRPr="00A86663">
        <w:rPr>
          <w:color w:val="auto"/>
        </w:rPr>
        <w:t xml:space="preserve">Budgeted cost: </w:t>
      </w:r>
      <w:r w:rsidR="00514AA9" w:rsidRPr="00A86663">
        <w:rPr>
          <w:color w:val="auto"/>
        </w:rPr>
        <w:t>£</w:t>
      </w:r>
      <w:r w:rsidR="00A86663" w:rsidRPr="00A86663">
        <w:rPr>
          <w:color w:val="auto"/>
        </w:rPr>
        <w:t>64,800</w:t>
      </w:r>
    </w:p>
    <w:p w14:paraId="55D1C201" w14:textId="453B8A1D" w:rsidR="005F692B" w:rsidRPr="005F692B" w:rsidRDefault="005F692B" w:rsidP="005F692B">
      <w:pPr>
        <w:rPr>
          <w:b/>
          <w:bCs/>
          <w:color w:val="5F497A" w:themeColor="accent4" w:themeShade="BF"/>
        </w:rPr>
      </w:pPr>
      <w:r w:rsidRPr="005F692B">
        <w:rPr>
          <w:b/>
          <w:bCs/>
          <w:color w:val="5F497A" w:themeColor="accent4" w:themeShade="BF"/>
        </w:rPr>
        <w:t xml:space="preserve"> </w:t>
      </w:r>
    </w:p>
    <w:tbl>
      <w:tblPr>
        <w:tblW w:w="5000" w:type="pct"/>
        <w:tblCellMar>
          <w:left w:w="10" w:type="dxa"/>
          <w:right w:w="10" w:type="dxa"/>
        </w:tblCellMar>
        <w:tblLook w:val="04A0" w:firstRow="1" w:lastRow="0" w:firstColumn="1" w:lastColumn="0" w:noHBand="0" w:noVBand="1"/>
      </w:tblPr>
      <w:tblGrid>
        <w:gridCol w:w="2124"/>
        <w:gridCol w:w="5435"/>
        <w:gridCol w:w="1927"/>
      </w:tblGrid>
      <w:tr w:rsidR="00E66558" w14:paraId="2A7D5528"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4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DD74" w14:textId="77777777" w:rsidR="00E66558" w:rsidRPr="007F6FAF" w:rsidRDefault="00950C2D" w:rsidP="00950C2D">
            <w:pPr>
              <w:pStyle w:val="TableRow"/>
              <w:ind w:left="0"/>
              <w:rPr>
                <w:iCs/>
                <w:color w:val="auto"/>
                <w:sz w:val="22"/>
                <w:szCs w:val="22"/>
              </w:rPr>
            </w:pPr>
            <w:r w:rsidRPr="007F6FAF">
              <w:rPr>
                <w:iCs/>
                <w:color w:val="auto"/>
                <w:sz w:val="22"/>
                <w:szCs w:val="22"/>
              </w:rPr>
              <w:t>Reading Recovery</w:t>
            </w:r>
          </w:p>
          <w:p w14:paraId="22ED1CBC" w14:textId="77777777" w:rsidR="00CD0D26" w:rsidRDefault="00CD0D26" w:rsidP="00950C2D">
            <w:pPr>
              <w:pStyle w:val="TableRow"/>
              <w:ind w:left="0"/>
              <w:rPr>
                <w:color w:val="auto"/>
                <w:sz w:val="22"/>
                <w:szCs w:val="22"/>
              </w:rPr>
            </w:pPr>
            <w:r w:rsidRPr="007F6FAF">
              <w:rPr>
                <w:color w:val="auto"/>
                <w:sz w:val="22"/>
                <w:szCs w:val="22"/>
              </w:rPr>
              <w:t>One to one daily literacy lessons with a specially trained teacher</w:t>
            </w:r>
          </w:p>
          <w:p w14:paraId="2A7D5529" w14:textId="0D4AB2E3" w:rsidR="00CB2631" w:rsidRPr="007F6FAF" w:rsidRDefault="00CB2631" w:rsidP="00950C2D">
            <w:pPr>
              <w:pStyle w:val="TableRow"/>
              <w:ind w:left="0"/>
              <w:rPr>
                <w:color w:val="auto"/>
              </w:rPr>
            </w:pPr>
            <w:r>
              <w:rPr>
                <w:color w:val="auto"/>
                <w:sz w:val="22"/>
                <w:szCs w:val="22"/>
              </w:rPr>
              <w:t>(2021 – 2022)</w:t>
            </w:r>
          </w:p>
        </w:tc>
        <w:tc>
          <w:tcPr>
            <w:tcW w:w="5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DC60F" w14:textId="77777777" w:rsidR="00E66558" w:rsidRPr="007F6FAF" w:rsidRDefault="007855F2">
            <w:pPr>
              <w:pStyle w:val="TableRowCentered"/>
              <w:jc w:val="left"/>
              <w:rPr>
                <w:color w:val="auto"/>
                <w:sz w:val="22"/>
              </w:rPr>
            </w:pPr>
            <w:r w:rsidRPr="007F6FAF">
              <w:rPr>
                <w:color w:val="auto"/>
                <w:sz w:val="22"/>
              </w:rPr>
              <w:t>There is substantial evidence evaluating RR’s effectiveness with the lowest-attaining pupils</w:t>
            </w:r>
          </w:p>
          <w:p w14:paraId="23D3DE14" w14:textId="77777777" w:rsidR="00CD0D26" w:rsidRPr="007F6FAF" w:rsidRDefault="00CD0D26">
            <w:pPr>
              <w:pStyle w:val="TableRowCentered"/>
              <w:jc w:val="left"/>
              <w:rPr>
                <w:color w:val="auto"/>
                <w:sz w:val="22"/>
              </w:rPr>
            </w:pPr>
          </w:p>
          <w:p w14:paraId="700E5350" w14:textId="0FE1D220" w:rsidR="00CD0D26" w:rsidRPr="007F6FAF" w:rsidRDefault="00CD0D26">
            <w:pPr>
              <w:pStyle w:val="TableRowCentered"/>
              <w:jc w:val="left"/>
              <w:rPr>
                <w:i/>
                <w:color w:val="auto"/>
                <w:sz w:val="22"/>
              </w:rPr>
            </w:pPr>
            <w:r w:rsidRPr="007F6FAF">
              <w:rPr>
                <w:i/>
                <w:color w:val="auto"/>
                <w:sz w:val="22"/>
              </w:rPr>
              <w:t>Effectiveness Reading Recovery Europe – UCL)</w:t>
            </w:r>
          </w:p>
          <w:p w14:paraId="2A7D552A" w14:textId="6546CE45" w:rsidR="00CD0D26" w:rsidRPr="007F6FAF" w:rsidRDefault="00CD0D26">
            <w:pPr>
              <w:pStyle w:val="TableRowCentered"/>
              <w:jc w:val="left"/>
              <w:rPr>
                <w:color w:val="auto"/>
                <w:sz w:val="22"/>
              </w:rPr>
            </w:pPr>
            <w:r w:rsidRPr="007F6FAF">
              <w:rPr>
                <w:i/>
                <w:color w:val="auto"/>
                <w:sz w:val="22"/>
              </w:rPr>
              <w:t>The impact of reading recovery ten ye</w:t>
            </w:r>
            <w:r w:rsidR="000D6EA5" w:rsidRPr="007F6FAF">
              <w:rPr>
                <w:i/>
                <w:color w:val="auto"/>
                <w:sz w:val="22"/>
              </w:rPr>
              <w:t>ars after intervention Dec 2018</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F6E7B96" w:rsidR="00E66558" w:rsidRPr="007F6FAF" w:rsidRDefault="000B5878">
            <w:pPr>
              <w:pStyle w:val="TableRowCentered"/>
              <w:jc w:val="left"/>
              <w:rPr>
                <w:color w:val="auto"/>
                <w:sz w:val="22"/>
              </w:rPr>
            </w:pPr>
            <w:r w:rsidRPr="007F6FAF">
              <w:rPr>
                <w:color w:val="auto"/>
                <w:sz w:val="22"/>
              </w:rPr>
              <w:t>3</w:t>
            </w:r>
          </w:p>
        </w:tc>
      </w:tr>
      <w:tr w:rsidR="00E66558" w14:paraId="2A7D5530"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6B7ED10" w:rsidR="00E66558" w:rsidRPr="007F6FAF" w:rsidRDefault="007C4A83">
            <w:pPr>
              <w:pStyle w:val="TableRow"/>
              <w:rPr>
                <w:iCs/>
                <w:color w:val="auto"/>
                <w:sz w:val="22"/>
              </w:rPr>
            </w:pPr>
            <w:r w:rsidRPr="007F6FAF">
              <w:rPr>
                <w:iCs/>
                <w:color w:val="auto"/>
                <w:sz w:val="22"/>
              </w:rPr>
              <w:t>Structured Interventions for Reading, Writing</w:t>
            </w:r>
            <w:r w:rsidR="00B64EEE">
              <w:rPr>
                <w:iCs/>
                <w:color w:val="auto"/>
                <w:sz w:val="22"/>
              </w:rPr>
              <w:t>, Phonics</w:t>
            </w:r>
            <w:r w:rsidRPr="007F6FAF">
              <w:rPr>
                <w:iCs/>
                <w:color w:val="auto"/>
                <w:sz w:val="22"/>
              </w:rPr>
              <w:t xml:space="preserve"> and Maths across the school</w:t>
            </w:r>
          </w:p>
        </w:tc>
        <w:tc>
          <w:tcPr>
            <w:tcW w:w="5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CC8C40A" w:rsidR="00E66558" w:rsidRPr="007F6FAF" w:rsidRDefault="00101ED1" w:rsidP="00101ED1">
            <w:pPr>
              <w:pStyle w:val="TableRowCentered"/>
              <w:ind w:left="0"/>
              <w:jc w:val="left"/>
              <w:rPr>
                <w:color w:val="auto"/>
                <w:sz w:val="22"/>
              </w:rPr>
            </w:pPr>
            <w:r w:rsidRPr="007F6FAF">
              <w:rPr>
                <w:color w:val="auto"/>
                <w:sz w:val="22"/>
              </w:rPr>
              <w:t xml:space="preserve">EEF research shows that using assessment to plan and teach targeted interventions </w:t>
            </w:r>
            <w:r w:rsidR="00E368C7" w:rsidRPr="007F6FAF">
              <w:rPr>
                <w:color w:val="auto"/>
                <w:sz w:val="22"/>
              </w:rPr>
              <w:t xml:space="preserve">which are closely monitored </w:t>
            </w:r>
            <w:r w:rsidRPr="007F6FAF">
              <w:rPr>
                <w:color w:val="auto"/>
                <w:sz w:val="22"/>
              </w:rPr>
              <w:t>either in a small group or one to one can be a powerful tool.</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2E1B7CA" w:rsidR="00E66558" w:rsidRPr="007F6FAF" w:rsidRDefault="007C4A83">
            <w:pPr>
              <w:pStyle w:val="TableRowCentered"/>
              <w:jc w:val="left"/>
              <w:rPr>
                <w:color w:val="auto"/>
                <w:sz w:val="22"/>
              </w:rPr>
            </w:pPr>
            <w:proofErr w:type="gramStart"/>
            <w:r w:rsidRPr="007F6FAF">
              <w:rPr>
                <w:color w:val="auto"/>
                <w:sz w:val="22"/>
              </w:rPr>
              <w:t>3</w:t>
            </w:r>
            <w:r w:rsidR="00E368C7" w:rsidRPr="007F6FAF">
              <w:rPr>
                <w:color w:val="auto"/>
                <w:sz w:val="22"/>
              </w:rPr>
              <w:t xml:space="preserve">  1</w:t>
            </w:r>
            <w:proofErr w:type="gramEnd"/>
          </w:p>
        </w:tc>
      </w:tr>
      <w:tr w:rsidR="001E3434" w14:paraId="4AB8CF86"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ED152" w14:textId="77777777" w:rsidR="001E3434" w:rsidRDefault="001E3434">
            <w:pPr>
              <w:pStyle w:val="TableRow"/>
              <w:rPr>
                <w:iCs/>
                <w:color w:val="auto"/>
                <w:sz w:val="22"/>
              </w:rPr>
            </w:pPr>
            <w:r w:rsidRPr="007F6FAF">
              <w:rPr>
                <w:iCs/>
                <w:color w:val="auto"/>
                <w:sz w:val="22"/>
              </w:rPr>
              <w:t>Additional phonics interventions targeted at disadvantaged pupils who require further phonics support.</w:t>
            </w:r>
          </w:p>
          <w:p w14:paraId="32CDEBC8" w14:textId="25206CAF" w:rsidR="00B64EEE" w:rsidRPr="007F6FAF" w:rsidRDefault="00B64EEE">
            <w:pPr>
              <w:pStyle w:val="TableRow"/>
              <w:rPr>
                <w:iCs/>
                <w:color w:val="auto"/>
                <w:sz w:val="22"/>
              </w:rPr>
            </w:pPr>
            <w:proofErr w:type="spellStart"/>
            <w:r>
              <w:rPr>
                <w:iCs/>
                <w:color w:val="auto"/>
                <w:sz w:val="22"/>
              </w:rPr>
              <w:t>Wandle</w:t>
            </w:r>
            <w:proofErr w:type="spellEnd"/>
            <w:r>
              <w:rPr>
                <w:iCs/>
                <w:color w:val="auto"/>
                <w:sz w:val="22"/>
              </w:rPr>
              <w:t xml:space="preserve"> Keep Up lessons. </w:t>
            </w:r>
          </w:p>
        </w:tc>
        <w:tc>
          <w:tcPr>
            <w:tcW w:w="5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80C0" w14:textId="77777777" w:rsidR="001E3434" w:rsidRPr="007F6FAF" w:rsidRDefault="001E3434" w:rsidP="00101ED1">
            <w:pPr>
              <w:pStyle w:val="TableRowCentered"/>
              <w:ind w:left="0"/>
              <w:jc w:val="left"/>
              <w:rPr>
                <w:color w:val="auto"/>
                <w:sz w:val="22"/>
              </w:rPr>
            </w:pPr>
            <w:r w:rsidRPr="007F6FAF">
              <w:rPr>
                <w:color w:val="auto"/>
                <w:sz w:val="22"/>
              </w:rPr>
              <w:t xml:space="preserve">Phonics approaches have a strong evidence base indicating a positive impact on pupils, particularly from disadvantaged backgrounds.  </w:t>
            </w:r>
          </w:p>
          <w:p w14:paraId="3BE4E886" w14:textId="77777777" w:rsidR="001E3434" w:rsidRPr="007F6FAF" w:rsidRDefault="001E3434" w:rsidP="00101ED1">
            <w:pPr>
              <w:pStyle w:val="TableRowCentered"/>
              <w:ind w:left="0"/>
              <w:jc w:val="left"/>
              <w:rPr>
                <w:color w:val="auto"/>
                <w:sz w:val="22"/>
              </w:rPr>
            </w:pPr>
          </w:p>
          <w:p w14:paraId="31A23F06" w14:textId="77777777" w:rsidR="001E3434" w:rsidRDefault="001E3434" w:rsidP="00101ED1">
            <w:pPr>
              <w:pStyle w:val="TableRowCentered"/>
              <w:ind w:left="0"/>
              <w:jc w:val="left"/>
              <w:rPr>
                <w:i/>
                <w:iCs/>
                <w:color w:val="auto"/>
                <w:sz w:val="22"/>
              </w:rPr>
            </w:pPr>
            <w:r w:rsidRPr="007F6FAF">
              <w:rPr>
                <w:i/>
                <w:iCs/>
                <w:color w:val="auto"/>
                <w:sz w:val="22"/>
              </w:rPr>
              <w:t xml:space="preserve">Phonics Toolkit Strand Education Endowment Foundation </w:t>
            </w:r>
          </w:p>
          <w:p w14:paraId="3B504A0A" w14:textId="77777777" w:rsidR="00B64EEE" w:rsidRDefault="00B64EEE" w:rsidP="00101ED1">
            <w:pPr>
              <w:pStyle w:val="TableRowCentered"/>
              <w:ind w:left="0"/>
              <w:jc w:val="left"/>
              <w:rPr>
                <w:i/>
                <w:iCs/>
                <w:color w:val="auto"/>
                <w:sz w:val="22"/>
              </w:rPr>
            </w:pPr>
          </w:p>
          <w:p w14:paraId="20DB2A01" w14:textId="36FC2FC6" w:rsidR="00B64EEE" w:rsidRPr="007F6FAF" w:rsidRDefault="00B64EEE" w:rsidP="00101ED1">
            <w:pPr>
              <w:pStyle w:val="TableRowCentered"/>
              <w:ind w:left="0"/>
              <w:jc w:val="left"/>
              <w:rPr>
                <w:i/>
                <w:iCs/>
                <w:color w:val="auto"/>
                <w:sz w:val="22"/>
              </w:rPr>
            </w:pPr>
            <w:r w:rsidRPr="00A86663">
              <w:rPr>
                <w:iCs/>
                <w:color w:val="auto"/>
                <w:sz w:val="22"/>
              </w:rPr>
              <w:t>(</w:t>
            </w:r>
            <w:hyperlink r:id="rId8" w:history="1">
              <w:r w:rsidRPr="00A86663">
                <w:rPr>
                  <w:rStyle w:val="Hyperlink"/>
                  <w:iCs/>
                  <w:color w:val="auto"/>
                  <w:sz w:val="22"/>
                </w:rPr>
                <w:t>www.littlewandlelettersandsounds.org.uk</w:t>
              </w:r>
            </w:hyperlink>
            <w:r w:rsidRPr="00A86663">
              <w:rPr>
                <w:iCs/>
                <w:color w:val="auto"/>
                <w:sz w:val="22"/>
              </w:rPr>
              <w:t xml:space="preserve">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33BF" w14:textId="7894F597" w:rsidR="001E3434" w:rsidRPr="007F6FAF" w:rsidRDefault="001E3434">
            <w:pPr>
              <w:pStyle w:val="TableRowCentered"/>
              <w:jc w:val="left"/>
              <w:rPr>
                <w:color w:val="auto"/>
                <w:sz w:val="22"/>
              </w:rPr>
            </w:pPr>
            <w:r w:rsidRPr="007F6FAF">
              <w:rPr>
                <w:color w:val="auto"/>
                <w:sz w:val="22"/>
              </w:rPr>
              <w:t>3</w:t>
            </w:r>
          </w:p>
        </w:tc>
      </w:tr>
      <w:tr w:rsidR="005E4439" w14:paraId="46F73CEE"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BEBB" w14:textId="5621BB5E" w:rsidR="005E4439" w:rsidRPr="007F6FAF" w:rsidRDefault="00BF060A">
            <w:pPr>
              <w:pStyle w:val="TableRow"/>
              <w:rPr>
                <w:iCs/>
                <w:color w:val="auto"/>
                <w:sz w:val="22"/>
              </w:rPr>
            </w:pPr>
            <w:r w:rsidRPr="007F6FAF">
              <w:rPr>
                <w:iCs/>
                <w:color w:val="auto"/>
                <w:sz w:val="22"/>
              </w:rPr>
              <w:t>Targeted support for individuals identified as needing additional speech and language support</w:t>
            </w:r>
          </w:p>
        </w:tc>
        <w:tc>
          <w:tcPr>
            <w:tcW w:w="5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E76C" w14:textId="28C29648" w:rsidR="005E4439" w:rsidRPr="007F6FAF" w:rsidRDefault="00E368C7" w:rsidP="00101ED1">
            <w:pPr>
              <w:pStyle w:val="TableRowCentered"/>
              <w:ind w:left="0"/>
              <w:jc w:val="left"/>
              <w:rPr>
                <w:color w:val="auto"/>
                <w:sz w:val="22"/>
              </w:rPr>
            </w:pPr>
            <w:r w:rsidRPr="007F6FAF">
              <w:rPr>
                <w:color w:val="auto"/>
                <w:sz w:val="22"/>
              </w:rPr>
              <w:t>EEF research shows that using assessment to plan and teach targeted interventions which are closely monitored either in a small group or one to one can be a powerful tool.</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EEBC2" w14:textId="03CA7AEF" w:rsidR="005E4439" w:rsidRPr="007F6FAF" w:rsidRDefault="00BF060A">
            <w:pPr>
              <w:pStyle w:val="TableRowCentered"/>
              <w:jc w:val="left"/>
              <w:rPr>
                <w:color w:val="auto"/>
                <w:sz w:val="22"/>
              </w:rPr>
            </w:pPr>
            <w:proofErr w:type="gramStart"/>
            <w:r w:rsidRPr="007F6FAF">
              <w:rPr>
                <w:color w:val="auto"/>
                <w:sz w:val="22"/>
              </w:rPr>
              <w:t>1  3</w:t>
            </w:r>
            <w:proofErr w:type="gramEnd"/>
            <w:r w:rsidRPr="007F6FAF">
              <w:rPr>
                <w:color w:val="auto"/>
                <w:sz w:val="22"/>
              </w:rPr>
              <w:t xml:space="preserve">  5</w:t>
            </w:r>
          </w:p>
        </w:tc>
      </w:tr>
      <w:tr w:rsidR="00E368C7" w14:paraId="4B1DE617" w14:textId="77777777" w:rsidTr="005F692B">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3FDBF" w14:textId="03854B28" w:rsidR="0070342A" w:rsidRPr="007F6FAF" w:rsidRDefault="00E368C7" w:rsidP="00B64EEE">
            <w:pPr>
              <w:pStyle w:val="TableRow"/>
              <w:rPr>
                <w:color w:val="auto"/>
                <w:sz w:val="22"/>
              </w:rPr>
            </w:pPr>
            <w:r w:rsidRPr="007F6FAF">
              <w:rPr>
                <w:color w:val="auto"/>
                <w:sz w:val="22"/>
              </w:rPr>
              <w:t>Small group social and emotional intervention.</w:t>
            </w:r>
          </w:p>
        </w:tc>
        <w:tc>
          <w:tcPr>
            <w:tcW w:w="5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014E" w14:textId="6FD9B58D" w:rsidR="005F69B8" w:rsidRPr="007F6FAF" w:rsidRDefault="005F69B8" w:rsidP="005F69B8">
            <w:pPr>
              <w:pStyle w:val="TableRowCentered"/>
              <w:ind w:left="0"/>
              <w:jc w:val="left"/>
              <w:rPr>
                <w:color w:val="auto"/>
                <w:sz w:val="22"/>
              </w:rPr>
            </w:pPr>
            <w:r w:rsidRPr="007F6FAF">
              <w:rPr>
                <w:color w:val="auto"/>
                <w:sz w:val="22"/>
              </w:rPr>
              <w:t>There is extensive evidence associating childhood social and emotional skills with improved outcomes at school and in later life.</w:t>
            </w:r>
          </w:p>
          <w:p w14:paraId="0E16E2A7" w14:textId="2403C754" w:rsidR="005F69B8" w:rsidRPr="007F6FAF" w:rsidRDefault="005F69B8" w:rsidP="005F69B8">
            <w:pPr>
              <w:pStyle w:val="TableRowCentered"/>
              <w:ind w:left="0"/>
              <w:jc w:val="left"/>
              <w:rPr>
                <w:color w:val="auto"/>
                <w:sz w:val="22"/>
              </w:rPr>
            </w:pPr>
            <w:r w:rsidRPr="007F6FAF">
              <w:rPr>
                <w:color w:val="auto"/>
                <w:sz w:val="22"/>
              </w:rPr>
              <w:t>The average impact of successful SEL interventions is an additional four months progress over the course of a year.</w:t>
            </w:r>
          </w:p>
          <w:p w14:paraId="7F0DF136" w14:textId="77777777" w:rsidR="005F69B8" w:rsidRPr="007F6FAF" w:rsidRDefault="005F69B8" w:rsidP="005F69B8">
            <w:pPr>
              <w:pStyle w:val="TableRowCentered"/>
              <w:jc w:val="left"/>
              <w:rPr>
                <w:color w:val="auto"/>
                <w:sz w:val="22"/>
              </w:rPr>
            </w:pPr>
          </w:p>
          <w:p w14:paraId="16385E5D" w14:textId="54EBA9B0" w:rsidR="005F69B8" w:rsidRPr="007F6FAF" w:rsidRDefault="005F69B8" w:rsidP="005F69B8">
            <w:pPr>
              <w:pStyle w:val="TableRowCentered"/>
              <w:ind w:left="0"/>
              <w:jc w:val="left"/>
              <w:rPr>
                <w:rFonts w:cs="Arial"/>
                <w:i/>
                <w:iCs/>
                <w:color w:val="auto"/>
                <w:shd w:val="clear" w:color="auto" w:fill="FFFFFF"/>
              </w:rPr>
            </w:pPr>
            <w:r w:rsidRPr="007F6FAF">
              <w:rPr>
                <w:i/>
                <w:iCs/>
                <w:color w:val="auto"/>
                <w:sz w:val="22"/>
              </w:rPr>
              <w:t>EEF Social and Emotional Learning.pdf(educationendowmentfoundation.org.uk)</w:t>
            </w:r>
          </w:p>
          <w:p w14:paraId="74AA5629" w14:textId="3F085820" w:rsidR="00E368C7" w:rsidRPr="007F6FAF" w:rsidRDefault="00E368C7" w:rsidP="00101ED1">
            <w:pPr>
              <w:pStyle w:val="TableRowCentered"/>
              <w:ind w:left="0"/>
              <w:jc w:val="left"/>
              <w:rPr>
                <w:color w:val="auto"/>
                <w:sz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5190" w14:textId="0F8DE36D" w:rsidR="00E368C7" w:rsidRPr="007F6FAF" w:rsidRDefault="005F69B8">
            <w:pPr>
              <w:pStyle w:val="TableRowCentered"/>
              <w:jc w:val="left"/>
              <w:rPr>
                <w:color w:val="auto"/>
                <w:sz w:val="22"/>
              </w:rPr>
            </w:pPr>
            <w:proofErr w:type="gramStart"/>
            <w:r w:rsidRPr="007F6FAF">
              <w:rPr>
                <w:color w:val="auto"/>
                <w:sz w:val="22"/>
              </w:rPr>
              <w:t>2  3</w:t>
            </w:r>
            <w:proofErr w:type="gramEnd"/>
            <w:r w:rsidRPr="007F6FAF">
              <w:rPr>
                <w:color w:val="auto"/>
                <w:sz w:val="22"/>
              </w:rPr>
              <w:t xml:space="preserve">  </w:t>
            </w:r>
          </w:p>
        </w:tc>
      </w:tr>
    </w:tbl>
    <w:p w14:paraId="31884FB1" w14:textId="77777777" w:rsidR="00F314BE" w:rsidRDefault="00F314BE">
      <w:pPr>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E1615BA" w:rsidR="00E66558" w:rsidRPr="00A86663" w:rsidRDefault="009D71E8">
      <w:pPr>
        <w:spacing w:before="240" w:after="120"/>
        <w:rPr>
          <w:color w:val="auto"/>
        </w:rPr>
      </w:pPr>
      <w:r w:rsidRPr="00241324">
        <w:rPr>
          <w:color w:val="auto"/>
        </w:rPr>
        <w:t xml:space="preserve">Budgeted cost: </w:t>
      </w:r>
      <w:r w:rsidR="00514AA9" w:rsidRPr="00A86663">
        <w:rPr>
          <w:color w:val="auto"/>
        </w:rPr>
        <w:t>£</w:t>
      </w:r>
      <w:r w:rsidR="00A86663" w:rsidRPr="00A86663">
        <w:rPr>
          <w:color w:val="auto"/>
        </w:rPr>
        <w:t>34,390</w:t>
      </w:r>
    </w:p>
    <w:p w14:paraId="239763AA" w14:textId="5B902DD7" w:rsidR="00D148AF" w:rsidRPr="00705344" w:rsidRDefault="00D148AF" w:rsidP="00D148AF">
      <w:pPr>
        <w:rPr>
          <w:b/>
          <w:bCs/>
          <w:color w:val="76923C" w:themeColor="accent3" w:themeShade="BF"/>
        </w:rPr>
      </w:pPr>
    </w:p>
    <w:tbl>
      <w:tblPr>
        <w:tblW w:w="5000" w:type="pct"/>
        <w:tblCellMar>
          <w:left w:w="10" w:type="dxa"/>
          <w:right w:w="10" w:type="dxa"/>
        </w:tblCellMar>
        <w:tblLook w:val="04A0" w:firstRow="1" w:lastRow="0" w:firstColumn="1" w:lastColumn="0" w:noHBand="0" w:noVBand="1"/>
      </w:tblPr>
      <w:tblGrid>
        <w:gridCol w:w="2699"/>
        <w:gridCol w:w="4241"/>
        <w:gridCol w:w="2546"/>
      </w:tblGrid>
      <w:tr w:rsidR="00E66558" w14:paraId="2A7D5537"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C937" w14:textId="28AC8769" w:rsidR="00E66558" w:rsidRPr="00A86663" w:rsidRDefault="004A5524">
            <w:pPr>
              <w:pStyle w:val="TableRow"/>
              <w:rPr>
                <w:color w:val="auto"/>
                <w:sz w:val="22"/>
                <w:szCs w:val="22"/>
              </w:rPr>
            </w:pPr>
            <w:r w:rsidRPr="00A86663">
              <w:rPr>
                <w:color w:val="auto"/>
                <w:sz w:val="22"/>
                <w:szCs w:val="22"/>
              </w:rPr>
              <w:t>Drama l</w:t>
            </w:r>
            <w:r w:rsidR="00F67817" w:rsidRPr="00A86663">
              <w:rPr>
                <w:color w:val="auto"/>
                <w:sz w:val="22"/>
                <w:szCs w:val="22"/>
              </w:rPr>
              <w:t>essons with a drama specialist.</w:t>
            </w:r>
          </w:p>
          <w:p w14:paraId="3F69F89D" w14:textId="5F736C36" w:rsidR="00B64EEE" w:rsidRPr="00A86663" w:rsidRDefault="00B64EEE">
            <w:pPr>
              <w:pStyle w:val="TableRow"/>
              <w:rPr>
                <w:color w:val="auto"/>
                <w:sz w:val="22"/>
                <w:szCs w:val="22"/>
              </w:rPr>
            </w:pPr>
          </w:p>
          <w:p w14:paraId="6A0B30E7" w14:textId="7D933B9B" w:rsidR="00B64EEE" w:rsidRPr="00A86663" w:rsidRDefault="00B64EEE" w:rsidP="00B64EEE">
            <w:pPr>
              <w:pStyle w:val="TableRow"/>
              <w:ind w:left="0"/>
              <w:rPr>
                <w:color w:val="auto"/>
                <w:sz w:val="22"/>
                <w:szCs w:val="22"/>
              </w:rPr>
            </w:pPr>
            <w:r w:rsidRPr="00A86663">
              <w:rPr>
                <w:color w:val="auto"/>
                <w:sz w:val="22"/>
                <w:szCs w:val="22"/>
              </w:rPr>
              <w:t>Teachers continue to explore feelings and character motives through drama.</w:t>
            </w:r>
          </w:p>
          <w:p w14:paraId="2A7D5538" w14:textId="64CA6F3A" w:rsidR="0070342A" w:rsidRPr="00B64EEE" w:rsidRDefault="0070342A" w:rsidP="00B64EEE">
            <w:pPr>
              <w:pStyle w:val="TableRow"/>
              <w:ind w:left="0"/>
              <w:rPr>
                <w:color w:val="76923C" w:themeColor="accent3" w:themeShade="BF"/>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8A93111" w:rsidR="00E66558" w:rsidRPr="007F6FAF" w:rsidRDefault="00A200D7" w:rsidP="007855F2">
            <w:pPr>
              <w:pStyle w:val="TableRowCentered"/>
              <w:ind w:left="0"/>
              <w:jc w:val="left"/>
              <w:rPr>
                <w:color w:val="auto"/>
                <w:sz w:val="22"/>
              </w:rPr>
            </w:pPr>
            <w:r w:rsidRPr="007F6FAF">
              <w:rPr>
                <w:color w:val="auto"/>
                <w:sz w:val="22"/>
              </w:rPr>
              <w:t>Drama is a safe way for children to explore difficult feelings</w:t>
            </w:r>
            <w:r w:rsidR="000B5878" w:rsidRPr="007F6FAF">
              <w:rPr>
                <w:color w:val="auto"/>
                <w:sz w:val="22"/>
              </w:rPr>
              <w:t xml:space="preserve"> </w:t>
            </w:r>
            <w:r w:rsidRPr="007F6FAF">
              <w:rPr>
                <w:color w:val="auto"/>
                <w:sz w:val="22"/>
              </w:rPr>
              <w:t xml:space="preserve">because children are playing characters other than themselves. </w:t>
            </w:r>
            <w:r w:rsidR="00F67817" w:rsidRPr="007F6FAF">
              <w:rPr>
                <w:color w:val="auto"/>
                <w:sz w:val="22"/>
              </w:rPr>
              <w:t xml:space="preserve"> It also provides the language to discuss these feelings and is an opportunity to learn new vocabulary. </w:t>
            </w:r>
            <w:r w:rsidRPr="007F6FAF">
              <w:rPr>
                <w:color w:val="auto"/>
                <w:sz w:val="22"/>
              </w:rPr>
              <w:t>Through drama children can explore the physical characteristics of feelings, helping them to recognise these feelings in themselves and others.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FEB42EC" w:rsidR="00E66558" w:rsidRPr="007F6FAF" w:rsidRDefault="000B5878" w:rsidP="000D6EA5">
            <w:pPr>
              <w:pStyle w:val="TableRowCentered"/>
              <w:jc w:val="left"/>
              <w:rPr>
                <w:color w:val="auto"/>
                <w:sz w:val="22"/>
              </w:rPr>
            </w:pPr>
            <w:proofErr w:type="gramStart"/>
            <w:r w:rsidRPr="007F6FAF">
              <w:rPr>
                <w:color w:val="auto"/>
                <w:sz w:val="22"/>
              </w:rPr>
              <w:t>2  1</w:t>
            </w:r>
            <w:proofErr w:type="gramEnd"/>
            <w:r w:rsidR="007F6FAF" w:rsidRPr="007F6FAF">
              <w:rPr>
                <w:color w:val="auto"/>
                <w:sz w:val="22"/>
              </w:rPr>
              <w:t xml:space="preserve">  3</w:t>
            </w:r>
          </w:p>
        </w:tc>
      </w:tr>
      <w:tr w:rsidR="00E66558" w14:paraId="2A7D553F"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4F8BA7C" w:rsidR="00E66558" w:rsidRPr="007F6FAF" w:rsidRDefault="004A5524">
            <w:pPr>
              <w:pStyle w:val="TableRow"/>
              <w:rPr>
                <w:color w:val="auto"/>
                <w:sz w:val="22"/>
              </w:rPr>
            </w:pPr>
            <w:r w:rsidRPr="007F6FAF">
              <w:rPr>
                <w:color w:val="auto"/>
                <w:sz w:val="22"/>
              </w:rPr>
              <w:t>Music lessons with a music specialist</w:t>
            </w: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DD39" w14:textId="6C5096F9" w:rsidR="00E66558" w:rsidRPr="007F6FAF" w:rsidRDefault="00A200D7">
            <w:pPr>
              <w:pStyle w:val="TableRowCentered"/>
              <w:jc w:val="left"/>
              <w:rPr>
                <w:color w:val="auto"/>
                <w:sz w:val="22"/>
              </w:rPr>
            </w:pPr>
            <w:r w:rsidRPr="007F6FAF">
              <w:rPr>
                <w:color w:val="auto"/>
                <w:sz w:val="22"/>
              </w:rPr>
              <w:t>Music supports and enhances the wellbeing of pupils giving them opportunities to improve the</w:t>
            </w:r>
            <w:r w:rsidR="00F67817" w:rsidRPr="007F6FAF">
              <w:rPr>
                <w:color w:val="auto"/>
                <w:sz w:val="22"/>
              </w:rPr>
              <w:t>ir</w:t>
            </w:r>
            <w:r w:rsidRPr="007F6FAF">
              <w:rPr>
                <w:color w:val="auto"/>
                <w:sz w:val="22"/>
              </w:rPr>
              <w:t xml:space="preserve"> social and emotional learning.</w:t>
            </w:r>
          </w:p>
          <w:p w14:paraId="2A7D553D" w14:textId="17EA3FCF" w:rsidR="00A200D7" w:rsidRPr="007F6FAF" w:rsidRDefault="00A200D7" w:rsidP="00C8066E">
            <w:pPr>
              <w:pStyle w:val="TableRowCentered"/>
              <w:jc w:val="left"/>
              <w:rPr>
                <w:color w:val="auto"/>
                <w:sz w:val="22"/>
              </w:rPr>
            </w:pPr>
            <w:r w:rsidRPr="007F6FAF">
              <w:rPr>
                <w:color w:val="auto"/>
                <w:sz w:val="22"/>
              </w:rPr>
              <w:t xml:space="preserve">Singing releases endorphins which give a feeling of pleasure and </w:t>
            </w:r>
            <w:proofErr w:type="spellStart"/>
            <w:r w:rsidRPr="007F6FAF">
              <w:rPr>
                <w:color w:val="auto"/>
                <w:sz w:val="22"/>
              </w:rPr>
              <w:t>exytocin</w:t>
            </w:r>
            <w:proofErr w:type="spellEnd"/>
            <w:r w:rsidRPr="007F6FAF">
              <w:rPr>
                <w:color w:val="auto"/>
                <w:sz w:val="22"/>
              </w:rPr>
              <w:t xml:space="preserve"> which decreases anxiety and stress.  Singing involves exercises that control the breath</w:t>
            </w:r>
            <w:r w:rsidR="00945B7F" w:rsidRPr="007F6FAF">
              <w:rPr>
                <w:color w:val="auto"/>
                <w:sz w:val="22"/>
              </w:rPr>
              <w:t xml:space="preserve"> and increases the flow of oxygen around the body.  Songs are chosen that relate to the zones o</w:t>
            </w:r>
            <w:r w:rsidR="008B59AC" w:rsidRPr="007F6FAF">
              <w:rPr>
                <w:color w:val="auto"/>
                <w:sz w:val="22"/>
              </w:rPr>
              <w:t>f regulation and growth mindset.  Songs introduce children to new rhythm, rhyme, vocabulary and sentence structure.</w:t>
            </w:r>
            <w:r w:rsidR="00EE26C3" w:rsidRPr="007F6FAF">
              <w:rPr>
                <w:color w:val="auto"/>
                <w:sz w:val="22"/>
              </w:rPr>
              <w:t xml:space="preserve">  </w:t>
            </w:r>
            <w:r w:rsidR="00F67817" w:rsidRPr="007F6FAF">
              <w:rPr>
                <w:color w:val="auto"/>
                <w:sz w:val="22"/>
              </w:rPr>
              <w:t>L</w:t>
            </w:r>
            <w:r w:rsidR="006318EA" w:rsidRPr="007F6FAF">
              <w:rPr>
                <w:color w:val="auto"/>
                <w:sz w:val="22"/>
              </w:rPr>
              <w:t>earning songs by heart children learn</w:t>
            </w:r>
            <w:r w:rsidR="00F67817" w:rsidRPr="007F6FAF">
              <w:rPr>
                <w:color w:val="auto"/>
                <w:sz w:val="22"/>
              </w:rPr>
              <w:t xml:space="preserve"> new</w:t>
            </w:r>
            <w:r w:rsidR="006318EA" w:rsidRPr="007F6FAF">
              <w:rPr>
                <w:color w:val="auto"/>
                <w:sz w:val="22"/>
              </w:rPr>
              <w:t xml:space="preserve"> elements of language and begin to apply them to their conversations and writing.</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F73254A" w:rsidR="00E66558" w:rsidRPr="007F6FAF" w:rsidRDefault="004A5524" w:rsidP="000D6EA5">
            <w:pPr>
              <w:pStyle w:val="TableRowCentered"/>
              <w:jc w:val="both"/>
              <w:rPr>
                <w:color w:val="auto"/>
                <w:sz w:val="22"/>
              </w:rPr>
            </w:pPr>
            <w:proofErr w:type="gramStart"/>
            <w:r w:rsidRPr="007F6FAF">
              <w:rPr>
                <w:color w:val="auto"/>
                <w:sz w:val="22"/>
              </w:rPr>
              <w:t>2  1</w:t>
            </w:r>
            <w:proofErr w:type="gramEnd"/>
            <w:r w:rsidR="007F6FAF" w:rsidRPr="007F6FAF">
              <w:rPr>
                <w:color w:val="auto"/>
                <w:sz w:val="22"/>
              </w:rPr>
              <w:t xml:space="preserve">  3</w:t>
            </w:r>
          </w:p>
        </w:tc>
      </w:tr>
      <w:tr w:rsidR="000D6EA5" w14:paraId="7C2FCB93"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01A4" w14:textId="77777777" w:rsidR="000D6EA5" w:rsidRDefault="000D6EA5" w:rsidP="004A5524">
            <w:pPr>
              <w:pStyle w:val="TableRow"/>
              <w:ind w:left="0"/>
              <w:rPr>
                <w:color w:val="auto"/>
                <w:sz w:val="22"/>
              </w:rPr>
            </w:pPr>
            <w:r w:rsidRPr="007F6FAF">
              <w:rPr>
                <w:color w:val="auto"/>
                <w:sz w:val="22"/>
              </w:rPr>
              <w:t>Growth Mindset Lessons</w:t>
            </w:r>
            <w:r w:rsidR="002F5CA6" w:rsidRPr="007F6FAF">
              <w:rPr>
                <w:color w:val="auto"/>
                <w:sz w:val="22"/>
              </w:rPr>
              <w:t xml:space="preserve"> </w:t>
            </w:r>
            <w:r w:rsidR="0041710F" w:rsidRPr="007F6FAF">
              <w:rPr>
                <w:color w:val="auto"/>
                <w:sz w:val="22"/>
              </w:rPr>
              <w:t xml:space="preserve">throughout the school </w:t>
            </w:r>
            <w:r w:rsidR="002F5CA6" w:rsidRPr="007F6FAF">
              <w:rPr>
                <w:color w:val="auto"/>
                <w:sz w:val="22"/>
              </w:rPr>
              <w:t xml:space="preserve">to build pupils emotional resilience. </w:t>
            </w:r>
          </w:p>
          <w:p w14:paraId="478A0947" w14:textId="77777777" w:rsidR="0070342A" w:rsidRPr="00A86663" w:rsidRDefault="0070342A" w:rsidP="004A5524">
            <w:pPr>
              <w:pStyle w:val="TableRow"/>
              <w:ind w:left="0"/>
              <w:rPr>
                <w:color w:val="auto"/>
                <w:sz w:val="22"/>
              </w:rPr>
            </w:pPr>
            <w:r w:rsidRPr="00A86663">
              <w:rPr>
                <w:color w:val="auto"/>
                <w:sz w:val="22"/>
              </w:rPr>
              <w:t>Shirley Clarke Training</w:t>
            </w:r>
          </w:p>
          <w:p w14:paraId="6FBBED6E" w14:textId="77777777" w:rsidR="0070342A" w:rsidRPr="00A86663" w:rsidRDefault="0070342A" w:rsidP="004A5524">
            <w:pPr>
              <w:pStyle w:val="TableRow"/>
              <w:ind w:left="0"/>
              <w:rPr>
                <w:color w:val="auto"/>
                <w:sz w:val="22"/>
              </w:rPr>
            </w:pPr>
            <w:proofErr w:type="spellStart"/>
            <w:r w:rsidRPr="00A86663">
              <w:rPr>
                <w:color w:val="auto"/>
                <w:sz w:val="22"/>
              </w:rPr>
              <w:t>MyHappy</w:t>
            </w:r>
            <w:r w:rsidR="00B64EEE" w:rsidRPr="00A86663">
              <w:rPr>
                <w:color w:val="auto"/>
                <w:sz w:val="22"/>
              </w:rPr>
              <w:t>m</w:t>
            </w:r>
            <w:r w:rsidRPr="00A86663">
              <w:rPr>
                <w:color w:val="auto"/>
                <w:sz w:val="22"/>
              </w:rPr>
              <w:t>inds</w:t>
            </w:r>
            <w:proofErr w:type="spellEnd"/>
          </w:p>
          <w:p w14:paraId="1CDD4A4A" w14:textId="77777777" w:rsidR="00DC76CC" w:rsidRDefault="00DC76CC" w:rsidP="004A5524">
            <w:pPr>
              <w:pStyle w:val="TableRow"/>
              <w:ind w:left="0"/>
              <w:rPr>
                <w:color w:val="76923C" w:themeColor="accent3" w:themeShade="BF"/>
                <w:sz w:val="22"/>
              </w:rPr>
            </w:pPr>
          </w:p>
          <w:p w14:paraId="1AC1BF41" w14:textId="17907B77" w:rsidR="00DC76CC" w:rsidRPr="007F6FAF" w:rsidRDefault="00DC76CC" w:rsidP="004A5524">
            <w:pPr>
              <w:pStyle w:val="TableRow"/>
              <w:ind w:left="0"/>
              <w:rPr>
                <w:color w:val="auto"/>
                <w:sz w:val="22"/>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8F70" w14:textId="77777777" w:rsidR="000D6EA5" w:rsidRDefault="002F5CA6" w:rsidP="002F5CA6">
            <w:pPr>
              <w:pStyle w:val="TableRowCentered"/>
              <w:ind w:left="0"/>
              <w:jc w:val="left"/>
              <w:rPr>
                <w:rFonts w:cs="Arial"/>
                <w:color w:val="auto"/>
                <w:shd w:val="clear" w:color="auto" w:fill="FFFFFF"/>
              </w:rPr>
            </w:pPr>
            <w:r w:rsidRPr="007F6FAF">
              <w:rPr>
                <w:rFonts w:cs="Arial"/>
                <w:color w:val="auto"/>
                <w:shd w:val="clear" w:color="auto" w:fill="FFFFFF"/>
              </w:rPr>
              <w:t>Research has shown that a growth mindset allows pupils to navigate stress and challenges better and lead</w:t>
            </w:r>
            <w:r w:rsidR="004A5524" w:rsidRPr="007F6FAF">
              <w:rPr>
                <w:rFonts w:cs="Arial"/>
                <w:color w:val="auto"/>
                <w:shd w:val="clear" w:color="auto" w:fill="FFFFFF"/>
              </w:rPr>
              <w:t>s</w:t>
            </w:r>
            <w:r w:rsidRPr="007F6FAF">
              <w:rPr>
                <w:rFonts w:cs="Arial"/>
                <w:color w:val="auto"/>
                <w:shd w:val="clear" w:color="auto" w:fill="FFFFFF"/>
              </w:rPr>
              <w:t xml:space="preserve"> to higher levels of wellbeing</w:t>
            </w:r>
            <w:r w:rsidR="004A5524" w:rsidRPr="007F6FAF">
              <w:rPr>
                <w:rFonts w:cs="Arial"/>
                <w:color w:val="auto"/>
                <w:shd w:val="clear" w:color="auto" w:fill="FFFFFF"/>
              </w:rPr>
              <w:t xml:space="preserve"> and attainment.</w:t>
            </w:r>
          </w:p>
          <w:p w14:paraId="21F9A7E8" w14:textId="29036407" w:rsidR="00B64EEE" w:rsidRPr="00A86663" w:rsidRDefault="00B64EEE" w:rsidP="002F5CA6">
            <w:pPr>
              <w:pStyle w:val="TableRowCentered"/>
              <w:ind w:left="0"/>
              <w:jc w:val="left"/>
              <w:rPr>
                <w:color w:val="auto"/>
                <w:sz w:val="22"/>
              </w:rPr>
            </w:pPr>
            <w:r w:rsidRPr="00A86663">
              <w:rPr>
                <w:color w:val="auto"/>
                <w:sz w:val="22"/>
              </w:rPr>
              <w:t>(</w:t>
            </w:r>
            <w:hyperlink r:id="rId9" w:history="1">
              <w:r w:rsidR="003B5F67" w:rsidRPr="00A86663">
                <w:rPr>
                  <w:rStyle w:val="Hyperlink"/>
                  <w:color w:val="auto"/>
                  <w:sz w:val="22"/>
                </w:rPr>
                <w:t>www.shirleyclarke-education.org</w:t>
              </w:r>
            </w:hyperlink>
            <w:r w:rsidRPr="00A86663">
              <w:rPr>
                <w:color w:val="auto"/>
                <w:sz w:val="22"/>
              </w:rPr>
              <w:t>)</w:t>
            </w:r>
          </w:p>
          <w:p w14:paraId="15D2DC8F" w14:textId="1AD4C7EA" w:rsidR="003B5F67" w:rsidRPr="007F6FAF" w:rsidRDefault="003B5F67" w:rsidP="002F5CA6">
            <w:pPr>
              <w:pStyle w:val="TableRowCentered"/>
              <w:ind w:left="0"/>
              <w:jc w:val="left"/>
              <w:rPr>
                <w:color w:val="auto"/>
                <w:sz w:val="22"/>
              </w:rPr>
            </w:pPr>
            <w:r w:rsidRPr="00A86663">
              <w:rPr>
                <w:i/>
                <w:iCs/>
                <w:color w:val="auto"/>
                <w:sz w:val="22"/>
              </w:rPr>
              <w:t>(myhappymind.org)</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4196A" w14:textId="62EDE335" w:rsidR="000D6EA5" w:rsidRPr="007F6FAF" w:rsidRDefault="004A5524" w:rsidP="000D6EA5">
            <w:pPr>
              <w:pStyle w:val="TableRowCentered"/>
              <w:jc w:val="left"/>
              <w:rPr>
                <w:color w:val="auto"/>
                <w:sz w:val="22"/>
              </w:rPr>
            </w:pPr>
            <w:proofErr w:type="gramStart"/>
            <w:r w:rsidRPr="007F6FAF">
              <w:rPr>
                <w:color w:val="auto"/>
                <w:sz w:val="22"/>
              </w:rPr>
              <w:t>2  3</w:t>
            </w:r>
            <w:proofErr w:type="gramEnd"/>
          </w:p>
        </w:tc>
      </w:tr>
      <w:tr w:rsidR="00DC76CC" w14:paraId="1196F6B5"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1FD9" w14:textId="185911BD" w:rsidR="00DC76CC" w:rsidRPr="00A86663" w:rsidRDefault="00DC76CC" w:rsidP="004A5524">
            <w:pPr>
              <w:pStyle w:val="TableRow"/>
              <w:ind w:left="0"/>
              <w:rPr>
                <w:color w:val="auto"/>
                <w:sz w:val="22"/>
              </w:rPr>
            </w:pPr>
            <w:r w:rsidRPr="00A86663">
              <w:rPr>
                <w:color w:val="auto"/>
                <w:sz w:val="22"/>
              </w:rPr>
              <w:t xml:space="preserve">Parent Workshop </w:t>
            </w:r>
            <w:r w:rsidR="00A86663" w:rsidRPr="00A86663">
              <w:rPr>
                <w:color w:val="auto"/>
                <w:sz w:val="22"/>
              </w:rPr>
              <w:t>to</w:t>
            </w:r>
            <w:r w:rsidRPr="00A86663">
              <w:rPr>
                <w:color w:val="auto"/>
                <w:sz w:val="22"/>
              </w:rPr>
              <w:t xml:space="preserve"> suppor</w:t>
            </w:r>
            <w:r w:rsidR="00A86663" w:rsidRPr="00A86663">
              <w:rPr>
                <w:color w:val="auto"/>
                <w:sz w:val="22"/>
              </w:rPr>
              <w:t>t parents to help their child develop a Growth Mindset.</w:t>
            </w:r>
            <w:r w:rsidRPr="00A86663">
              <w:rPr>
                <w:color w:val="auto"/>
                <w:sz w:val="22"/>
              </w:rPr>
              <w:t xml:space="preserve"> </w:t>
            </w: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60B8" w14:textId="77777777" w:rsidR="00DC76CC" w:rsidRPr="00A86663" w:rsidRDefault="00DC76CC" w:rsidP="00DC76CC">
            <w:pPr>
              <w:pStyle w:val="TableRowCentered"/>
              <w:ind w:left="0"/>
              <w:jc w:val="left"/>
              <w:rPr>
                <w:rFonts w:cs="Arial"/>
                <w:color w:val="auto"/>
                <w:shd w:val="clear" w:color="auto" w:fill="FFFFFF"/>
              </w:rPr>
            </w:pPr>
            <w:r w:rsidRPr="00A86663">
              <w:rPr>
                <w:rFonts w:cs="Arial"/>
                <w:color w:val="auto"/>
                <w:shd w:val="clear" w:color="auto" w:fill="FFFFFF"/>
              </w:rPr>
              <w:t>Research has shown that a growth mindset allows pupils to navigate stress and challenges better and leads to higher levels of wellbeing and attainment.</w:t>
            </w:r>
          </w:p>
          <w:p w14:paraId="063C341C" w14:textId="77777777" w:rsidR="00DC76CC" w:rsidRPr="00A86663" w:rsidRDefault="00DC76CC" w:rsidP="00DC76CC">
            <w:pPr>
              <w:pStyle w:val="TableRowCentered"/>
              <w:ind w:left="0"/>
              <w:jc w:val="left"/>
              <w:rPr>
                <w:color w:val="auto"/>
                <w:sz w:val="22"/>
              </w:rPr>
            </w:pPr>
            <w:r w:rsidRPr="00A86663">
              <w:rPr>
                <w:color w:val="auto"/>
                <w:sz w:val="22"/>
              </w:rPr>
              <w:t>(</w:t>
            </w:r>
            <w:hyperlink r:id="rId10" w:history="1">
              <w:r w:rsidRPr="00A86663">
                <w:rPr>
                  <w:rStyle w:val="Hyperlink"/>
                  <w:color w:val="auto"/>
                  <w:sz w:val="22"/>
                </w:rPr>
                <w:t>www.shirleyclarke-education.org</w:t>
              </w:r>
            </w:hyperlink>
            <w:r w:rsidRPr="00A86663">
              <w:rPr>
                <w:color w:val="auto"/>
                <w:sz w:val="22"/>
              </w:rPr>
              <w:t>)</w:t>
            </w:r>
          </w:p>
          <w:p w14:paraId="6E6EAE42" w14:textId="4EA7D1AB" w:rsidR="00DC76CC" w:rsidRPr="00A86663" w:rsidRDefault="00DC76CC" w:rsidP="00DC76CC">
            <w:pPr>
              <w:pStyle w:val="TableRowCentered"/>
              <w:ind w:left="0"/>
              <w:jc w:val="left"/>
              <w:rPr>
                <w:rFonts w:cs="Arial"/>
                <w:color w:val="auto"/>
                <w:shd w:val="clear" w:color="auto" w:fill="FFFFFF"/>
              </w:rPr>
            </w:pPr>
            <w:r w:rsidRPr="00A86663">
              <w:rPr>
                <w:i/>
                <w:iCs/>
                <w:color w:val="auto"/>
                <w:sz w:val="22"/>
              </w:rPr>
              <w:t>(myhappymind.org)</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FFF6E" w14:textId="312BFA38" w:rsidR="00DC76CC" w:rsidRPr="007F6FAF" w:rsidRDefault="00DC76CC" w:rsidP="000D6EA5">
            <w:pPr>
              <w:pStyle w:val="TableRowCentered"/>
              <w:jc w:val="left"/>
              <w:rPr>
                <w:color w:val="auto"/>
                <w:sz w:val="22"/>
              </w:rPr>
            </w:pPr>
            <w:proofErr w:type="gramStart"/>
            <w:r w:rsidRPr="00DC76CC">
              <w:rPr>
                <w:color w:val="5F497A" w:themeColor="accent4" w:themeShade="BF"/>
                <w:sz w:val="22"/>
              </w:rPr>
              <w:t>2  3</w:t>
            </w:r>
            <w:proofErr w:type="gramEnd"/>
          </w:p>
        </w:tc>
      </w:tr>
      <w:tr w:rsidR="004A5524" w14:paraId="650F94E6"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76E44" w14:textId="417864C3" w:rsidR="00E630E2" w:rsidRPr="00A86663" w:rsidRDefault="00E630E2" w:rsidP="00D148AF">
            <w:pPr>
              <w:pStyle w:val="TableRow"/>
              <w:ind w:left="0"/>
              <w:rPr>
                <w:color w:val="auto"/>
                <w:sz w:val="22"/>
              </w:rPr>
            </w:pPr>
            <w:r w:rsidRPr="00A86663">
              <w:rPr>
                <w:color w:val="auto"/>
                <w:sz w:val="22"/>
              </w:rPr>
              <w:t>Member of SLT to lead on improving attendance.</w:t>
            </w:r>
          </w:p>
          <w:p w14:paraId="1D59342E" w14:textId="30472F8D" w:rsidR="00D148AF" w:rsidRPr="00A86663" w:rsidRDefault="00D148AF" w:rsidP="00D148AF">
            <w:pPr>
              <w:rPr>
                <w:color w:val="auto"/>
                <w:sz w:val="22"/>
                <w:szCs w:val="22"/>
              </w:rPr>
            </w:pPr>
            <w:r w:rsidRPr="00A86663">
              <w:rPr>
                <w:color w:val="auto"/>
                <w:sz w:val="22"/>
                <w:szCs w:val="22"/>
              </w:rPr>
              <w:t xml:space="preserve">Attendance Officer to support designated SLT member of staff </w:t>
            </w:r>
          </w:p>
          <w:p w14:paraId="35F81016" w14:textId="088DE9FF" w:rsidR="00DC76CC" w:rsidRPr="00A86663" w:rsidRDefault="00DC76CC" w:rsidP="00D148AF">
            <w:pPr>
              <w:rPr>
                <w:color w:val="auto"/>
                <w:sz w:val="22"/>
                <w:szCs w:val="22"/>
              </w:rPr>
            </w:pPr>
          </w:p>
          <w:p w14:paraId="4756927C" w14:textId="25B12A22" w:rsidR="00DC76CC" w:rsidRPr="00A86663" w:rsidRDefault="00DC76CC" w:rsidP="00D148AF">
            <w:pPr>
              <w:rPr>
                <w:color w:val="auto"/>
                <w:sz w:val="22"/>
                <w:szCs w:val="22"/>
              </w:rPr>
            </w:pPr>
            <w:r w:rsidRPr="00A86663">
              <w:rPr>
                <w:color w:val="auto"/>
                <w:sz w:val="22"/>
                <w:szCs w:val="22"/>
              </w:rPr>
              <w:t>Member of SLT leading attendance is a Safeguarding Lead and attendance officer has had safeguarding training</w:t>
            </w:r>
          </w:p>
          <w:p w14:paraId="42BE65EE" w14:textId="77777777" w:rsidR="00D148AF" w:rsidRPr="00A86663" w:rsidRDefault="00D148AF">
            <w:pPr>
              <w:pStyle w:val="TableRow"/>
              <w:rPr>
                <w:color w:val="auto"/>
                <w:sz w:val="22"/>
              </w:rPr>
            </w:pPr>
          </w:p>
          <w:p w14:paraId="6C1920F4" w14:textId="35AF3740" w:rsidR="00D148AF" w:rsidRPr="00A86663" w:rsidRDefault="00D148AF">
            <w:pPr>
              <w:pStyle w:val="TableRow"/>
              <w:rPr>
                <w:color w:val="auto"/>
                <w:sz w:val="22"/>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16D0" w14:textId="08778450" w:rsidR="004A5524" w:rsidRPr="00A86663" w:rsidRDefault="00276D63" w:rsidP="002F5CA6">
            <w:pPr>
              <w:pStyle w:val="TableRowCentered"/>
              <w:ind w:left="0"/>
              <w:jc w:val="left"/>
              <w:rPr>
                <w:rFonts w:cs="Arial"/>
                <w:color w:val="auto"/>
                <w:shd w:val="clear" w:color="auto" w:fill="FFFFFF"/>
              </w:rPr>
            </w:pPr>
            <w:r w:rsidRPr="00A86663">
              <w:rPr>
                <w:rFonts w:cs="Arial"/>
                <w:color w:val="auto"/>
                <w:shd w:val="clear" w:color="auto" w:fill="FFFFFF"/>
              </w:rPr>
              <w:t>Addressing attendance is one of the most effective ways to support disadvantaged pupils’ achievement.</w:t>
            </w:r>
          </w:p>
          <w:p w14:paraId="2AFC71F7" w14:textId="77777777" w:rsidR="00276D63" w:rsidRPr="00A86663" w:rsidRDefault="00276D63" w:rsidP="002F5CA6">
            <w:pPr>
              <w:pStyle w:val="TableRowCentered"/>
              <w:ind w:left="0"/>
              <w:jc w:val="left"/>
              <w:rPr>
                <w:rFonts w:cs="Arial"/>
                <w:i/>
                <w:color w:val="auto"/>
                <w:shd w:val="clear" w:color="auto" w:fill="FFFFFF"/>
              </w:rPr>
            </w:pPr>
            <w:r w:rsidRPr="00A86663">
              <w:rPr>
                <w:rFonts w:cs="Arial"/>
                <w:i/>
                <w:color w:val="auto"/>
                <w:shd w:val="clear" w:color="auto" w:fill="FFFFFF"/>
              </w:rPr>
              <w:t>Supporting the attainment of disadvantaged pupils – GOV.UK</w:t>
            </w:r>
          </w:p>
          <w:p w14:paraId="6D75D02A" w14:textId="5766CB11" w:rsidR="00E630E2" w:rsidRPr="00A86663" w:rsidRDefault="006646F8" w:rsidP="00E630E2">
            <w:pPr>
              <w:pStyle w:val="TableRowCentered"/>
              <w:ind w:left="0"/>
              <w:jc w:val="left"/>
              <w:rPr>
                <w:color w:val="auto"/>
                <w:sz w:val="22"/>
                <w:szCs w:val="24"/>
              </w:rPr>
            </w:pPr>
            <w:r w:rsidRPr="00A86663">
              <w:rPr>
                <w:color w:val="auto"/>
                <w:sz w:val="22"/>
                <w:szCs w:val="24"/>
              </w:rPr>
              <w:t>The school sets high expectations for every pupil, communicates those expectations clearly and consistently to pupils and parents and systematically analyses the attendance data to identify patterns to target improvement and overcome barriers to attendance.</w:t>
            </w:r>
          </w:p>
          <w:p w14:paraId="71F0FAEA" w14:textId="77777777" w:rsidR="006646F8" w:rsidRPr="00A86663" w:rsidRDefault="006646F8" w:rsidP="000A1803">
            <w:pPr>
              <w:pStyle w:val="TableRowCentered"/>
              <w:numPr>
                <w:ilvl w:val="0"/>
                <w:numId w:val="20"/>
              </w:numPr>
              <w:jc w:val="left"/>
              <w:rPr>
                <w:color w:val="auto"/>
                <w:sz w:val="22"/>
                <w:szCs w:val="24"/>
              </w:rPr>
            </w:pPr>
            <w:r w:rsidRPr="00A86663">
              <w:rPr>
                <w:color w:val="auto"/>
                <w:sz w:val="22"/>
                <w:szCs w:val="24"/>
              </w:rPr>
              <w:t xml:space="preserve">Working together to improve school attendance – DFE </w:t>
            </w:r>
          </w:p>
          <w:p w14:paraId="32C56103" w14:textId="5C3F6881" w:rsidR="006646F8" w:rsidRPr="00A86663" w:rsidRDefault="006646F8" w:rsidP="000A1803">
            <w:pPr>
              <w:pStyle w:val="TableRowCentered"/>
              <w:numPr>
                <w:ilvl w:val="0"/>
                <w:numId w:val="20"/>
              </w:numPr>
              <w:jc w:val="left"/>
              <w:rPr>
                <w:color w:val="auto"/>
                <w:sz w:val="22"/>
                <w:szCs w:val="24"/>
              </w:rPr>
            </w:pPr>
            <w:r w:rsidRPr="00A86663">
              <w:rPr>
                <w:color w:val="auto"/>
                <w:sz w:val="22"/>
                <w:szCs w:val="24"/>
              </w:rPr>
              <w:t>School attendance parental responsibility measures – DFE</w:t>
            </w:r>
          </w:p>
          <w:p w14:paraId="355828A1" w14:textId="0CD367F1" w:rsidR="006646F8" w:rsidRPr="00A86663" w:rsidRDefault="006646F8" w:rsidP="000A1803">
            <w:pPr>
              <w:pStyle w:val="Heading1"/>
              <w:numPr>
                <w:ilvl w:val="0"/>
                <w:numId w:val="20"/>
              </w:numPr>
              <w:shd w:val="clear" w:color="auto" w:fill="FFFFFF"/>
              <w:spacing w:after="0"/>
              <w:rPr>
                <w:b w:val="0"/>
                <w:color w:val="auto"/>
                <w:sz w:val="22"/>
              </w:rPr>
            </w:pPr>
            <w:r w:rsidRPr="00A86663">
              <w:rPr>
                <w:b w:val="0"/>
                <w:color w:val="auto"/>
                <w:sz w:val="22"/>
              </w:rPr>
              <w:t>Promoting and supporting mental health and wellbeing in schools and colleges – Gov.UK</w:t>
            </w:r>
          </w:p>
          <w:p w14:paraId="1B122DED" w14:textId="367B49A7" w:rsidR="006646F8" w:rsidRPr="00A86663" w:rsidRDefault="006646F8" w:rsidP="00E630E2">
            <w:pPr>
              <w:pStyle w:val="TableRowCentered"/>
              <w:ind w:left="0"/>
              <w:jc w:val="left"/>
              <w:rPr>
                <w:rFonts w:cs="Arial"/>
                <w:i/>
                <w:color w:val="auto"/>
                <w:shd w:val="clear" w:color="auto" w:fill="FFFFFF"/>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9C44" w14:textId="27EEB4DB" w:rsidR="004A5524" w:rsidRPr="00FD0CB8" w:rsidRDefault="008A3075" w:rsidP="000D6EA5">
            <w:pPr>
              <w:pStyle w:val="TableRowCentered"/>
              <w:jc w:val="left"/>
              <w:rPr>
                <w:color w:val="FF0000"/>
                <w:sz w:val="22"/>
              </w:rPr>
            </w:pPr>
            <w:proofErr w:type="gramStart"/>
            <w:r w:rsidRPr="00DC76CC">
              <w:rPr>
                <w:color w:val="auto"/>
                <w:sz w:val="22"/>
              </w:rPr>
              <w:t>4</w:t>
            </w:r>
            <w:r w:rsidR="00276D63" w:rsidRPr="00DC76CC">
              <w:rPr>
                <w:color w:val="auto"/>
                <w:sz w:val="22"/>
              </w:rPr>
              <w:t xml:space="preserve">  3</w:t>
            </w:r>
            <w:proofErr w:type="gramEnd"/>
          </w:p>
        </w:tc>
      </w:tr>
      <w:tr w:rsidR="005D65B4" w14:paraId="72D5F74C" w14:textId="77777777" w:rsidTr="00D148AF">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0657" w14:textId="66E8E1C7" w:rsidR="005D65B4" w:rsidRPr="00A86663" w:rsidRDefault="005D65B4" w:rsidP="004B46E3">
            <w:pPr>
              <w:pStyle w:val="TableRow"/>
              <w:rPr>
                <w:color w:val="auto"/>
                <w:sz w:val="22"/>
                <w:szCs w:val="22"/>
              </w:rPr>
            </w:pPr>
            <w:r w:rsidRPr="00A86663">
              <w:rPr>
                <w:color w:val="auto"/>
                <w:sz w:val="22"/>
                <w:szCs w:val="22"/>
              </w:rPr>
              <w:t xml:space="preserve">Access to enrichment activities including </w:t>
            </w:r>
            <w:r w:rsidR="003B5F67" w:rsidRPr="00A86663">
              <w:rPr>
                <w:color w:val="auto"/>
                <w:sz w:val="22"/>
                <w:szCs w:val="22"/>
              </w:rPr>
              <w:t>additional</w:t>
            </w:r>
            <w:r w:rsidR="004B46E3" w:rsidRPr="00A86663">
              <w:rPr>
                <w:color w:val="auto"/>
                <w:sz w:val="22"/>
                <w:szCs w:val="22"/>
              </w:rPr>
              <w:t xml:space="preserve"> </w:t>
            </w:r>
            <w:r w:rsidRPr="00A86663">
              <w:rPr>
                <w:color w:val="auto"/>
                <w:sz w:val="22"/>
                <w:szCs w:val="22"/>
              </w:rPr>
              <w:t>sports</w:t>
            </w:r>
            <w:r w:rsidR="003B5F67" w:rsidRPr="00A86663">
              <w:rPr>
                <w:color w:val="auto"/>
                <w:sz w:val="22"/>
                <w:szCs w:val="22"/>
              </w:rPr>
              <w:t>/fitness clubs</w:t>
            </w:r>
            <w:r w:rsidRPr="00A86663">
              <w:rPr>
                <w:color w:val="auto"/>
                <w:sz w:val="22"/>
                <w:szCs w:val="22"/>
              </w:rPr>
              <w:t xml:space="preserve"> </w:t>
            </w:r>
            <w:r w:rsidR="003B5F67" w:rsidRPr="00A86663">
              <w:rPr>
                <w:color w:val="auto"/>
                <w:sz w:val="22"/>
                <w:szCs w:val="22"/>
              </w:rPr>
              <w:t xml:space="preserve">and camps </w:t>
            </w:r>
            <w:r w:rsidRPr="00A86663">
              <w:rPr>
                <w:color w:val="auto"/>
                <w:sz w:val="22"/>
                <w:szCs w:val="22"/>
              </w:rPr>
              <w:t xml:space="preserve">for targeted </w:t>
            </w:r>
            <w:r w:rsidR="004B46E3" w:rsidRPr="00A86663">
              <w:rPr>
                <w:color w:val="auto"/>
                <w:sz w:val="22"/>
                <w:szCs w:val="22"/>
              </w:rPr>
              <w:t xml:space="preserve">disadvantaged </w:t>
            </w:r>
            <w:r w:rsidRPr="00A86663">
              <w:rPr>
                <w:color w:val="auto"/>
                <w:sz w:val="22"/>
                <w:szCs w:val="22"/>
              </w:rPr>
              <w:t>pupils</w:t>
            </w:r>
            <w:r w:rsidR="003B5F67" w:rsidRPr="00A86663">
              <w:rPr>
                <w:color w:val="auto"/>
                <w:sz w:val="22"/>
                <w:szCs w:val="22"/>
              </w:rPr>
              <w:t>.</w:t>
            </w:r>
          </w:p>
          <w:p w14:paraId="0F2A8BAD" w14:textId="296E9743" w:rsidR="003B5F67" w:rsidRPr="00A86663" w:rsidRDefault="003B5F67" w:rsidP="004B46E3">
            <w:pPr>
              <w:pStyle w:val="TableRow"/>
              <w:rPr>
                <w:color w:val="auto"/>
                <w:sz w:val="22"/>
                <w:szCs w:val="22"/>
              </w:rPr>
            </w:pPr>
            <w:r w:rsidRPr="00A86663">
              <w:rPr>
                <w:color w:val="auto"/>
                <w:sz w:val="22"/>
                <w:szCs w:val="22"/>
              </w:rPr>
              <w:t>Wider opportunities for trips/visitors.</w:t>
            </w:r>
          </w:p>
          <w:p w14:paraId="0FA9B15A" w14:textId="0DED280F" w:rsidR="003B5F67" w:rsidRPr="005D65B4" w:rsidRDefault="00DC76CC" w:rsidP="00A86663">
            <w:pPr>
              <w:pStyle w:val="TableRow"/>
              <w:rPr>
                <w:color w:val="auto"/>
                <w:sz w:val="22"/>
                <w:szCs w:val="22"/>
              </w:rPr>
            </w:pPr>
            <w:r w:rsidRPr="00A86663">
              <w:rPr>
                <w:color w:val="auto"/>
                <w:sz w:val="22"/>
                <w:szCs w:val="22"/>
              </w:rPr>
              <w:t>Additional African Drumming club</w:t>
            </w: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693B" w14:textId="77777777" w:rsidR="004B46E3" w:rsidRDefault="004B46E3" w:rsidP="002F5CA6">
            <w:pPr>
              <w:pStyle w:val="TableRowCentered"/>
              <w:ind w:left="0"/>
              <w:jc w:val="left"/>
              <w:rPr>
                <w:rFonts w:cs="Arial"/>
                <w:i/>
                <w:color w:val="auto"/>
                <w:shd w:val="clear" w:color="auto" w:fill="FFFFFF"/>
              </w:rPr>
            </w:pPr>
          </w:p>
          <w:p w14:paraId="7C058929" w14:textId="6D30310B" w:rsidR="005D65B4" w:rsidRPr="004B46E3" w:rsidRDefault="004B46E3" w:rsidP="002F5CA6">
            <w:pPr>
              <w:pStyle w:val="TableRowCentered"/>
              <w:ind w:left="0"/>
              <w:jc w:val="left"/>
              <w:rPr>
                <w:rFonts w:cs="Arial"/>
                <w:i/>
                <w:color w:val="auto"/>
                <w:shd w:val="clear" w:color="auto" w:fill="FFFFFF"/>
              </w:rPr>
            </w:pPr>
            <w:r w:rsidRPr="004B46E3">
              <w:rPr>
                <w:rFonts w:cs="Arial"/>
                <w:i/>
                <w:color w:val="auto"/>
                <w:shd w:val="clear" w:color="auto" w:fill="FFFFFF"/>
              </w:rPr>
              <w:t xml:space="preserve">EEF </w:t>
            </w:r>
            <w:proofErr w:type="spellStart"/>
            <w:r w:rsidRPr="004B46E3">
              <w:rPr>
                <w:rFonts w:cs="Arial"/>
                <w:i/>
                <w:color w:val="auto"/>
                <w:shd w:val="clear" w:color="auto" w:fill="FFFFFF"/>
              </w:rPr>
              <w:t>Llife</w:t>
            </w:r>
            <w:proofErr w:type="spellEnd"/>
            <w:r w:rsidRPr="004B46E3">
              <w:rPr>
                <w:rFonts w:cs="Arial"/>
                <w:i/>
                <w:color w:val="auto"/>
                <w:shd w:val="clear" w:color="auto" w:fill="FFFFFF"/>
              </w:rPr>
              <w:t xml:space="preserve"> Skills &amp; Enrichment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BD4F7" w14:textId="77777777" w:rsidR="005D65B4" w:rsidRPr="007F6FAF" w:rsidRDefault="005D65B4" w:rsidP="000D6EA5">
            <w:pPr>
              <w:pStyle w:val="TableRowCentered"/>
              <w:jc w:val="left"/>
              <w:rPr>
                <w:color w:val="auto"/>
                <w:sz w:val="22"/>
              </w:rPr>
            </w:pPr>
          </w:p>
        </w:tc>
      </w:tr>
    </w:tbl>
    <w:p w14:paraId="2A7D5541" w14:textId="345694C2" w:rsidR="00E66558" w:rsidRPr="00A86663" w:rsidRDefault="009D71E8" w:rsidP="00120AB1">
      <w:pPr>
        <w:rPr>
          <w:color w:val="auto"/>
          <w:sz w:val="28"/>
          <w:szCs w:val="28"/>
        </w:rPr>
      </w:pPr>
      <w:r w:rsidRPr="00A86663">
        <w:rPr>
          <w:color w:val="auto"/>
          <w:sz w:val="28"/>
          <w:szCs w:val="28"/>
        </w:rPr>
        <w:t xml:space="preserve">Total budgeted cost: </w:t>
      </w:r>
      <w:r w:rsidR="00514AA9" w:rsidRPr="00A86663">
        <w:rPr>
          <w:color w:val="auto"/>
          <w:sz w:val="28"/>
          <w:szCs w:val="28"/>
        </w:rPr>
        <w:t>£</w:t>
      </w:r>
      <w:r w:rsidR="00A86663" w:rsidRPr="00A86663">
        <w:rPr>
          <w:color w:val="auto"/>
          <w:sz w:val="28"/>
          <w:szCs w:val="28"/>
        </w:rPr>
        <w:t>133,465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Pr="003B5F67" w:rsidRDefault="009D71E8">
      <w:pPr>
        <w:rPr>
          <w:sz w:val="28"/>
          <w:szCs w:val="28"/>
        </w:rPr>
      </w:pPr>
      <w:bookmarkStart w:id="17" w:name="_Hlk122077642"/>
      <w:r w:rsidRPr="003B5F67">
        <w:rPr>
          <w:sz w:val="28"/>
          <w:szCs w:val="28"/>
        </w:rPr>
        <w:t xml:space="preserve">This details the impact that our pupil premium activity had on pupils in the </w:t>
      </w:r>
      <w:r w:rsidRPr="003B5F67">
        <w:rPr>
          <w:b/>
          <w:bCs/>
          <w:sz w:val="28"/>
          <w:szCs w:val="28"/>
        </w:rPr>
        <w:t>2020 to 2021</w:t>
      </w:r>
      <w:r w:rsidRPr="003B5F67">
        <w:rPr>
          <w:sz w:val="28"/>
          <w:szCs w:val="28"/>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7"/>
          <w:p w14:paraId="600D5D80" w14:textId="0D09C139" w:rsidR="00905299" w:rsidRDefault="00905299" w:rsidP="00905299">
            <w:pPr>
              <w:suppressAutoHyphens w:val="0"/>
              <w:autoSpaceDN/>
              <w:spacing w:after="200" w:line="276" w:lineRule="auto"/>
              <w:ind w:left="360"/>
              <w:rPr>
                <w:rFonts w:cs="Arial"/>
                <w:color w:val="auto"/>
              </w:rPr>
            </w:pPr>
            <w:r w:rsidRPr="0070342A">
              <w:rPr>
                <w:rFonts w:cs="Arial"/>
                <w:color w:val="auto"/>
              </w:rPr>
              <w:t>The gap between pupil premium pupils and non-pupil premium</w:t>
            </w:r>
            <w:r w:rsidR="00A33210" w:rsidRPr="0070342A">
              <w:rPr>
                <w:rFonts w:cs="Arial"/>
                <w:color w:val="auto"/>
              </w:rPr>
              <w:t xml:space="preserve"> was</w:t>
            </w:r>
            <w:r w:rsidRPr="0070342A">
              <w:rPr>
                <w:rFonts w:cs="Arial"/>
                <w:color w:val="auto"/>
              </w:rPr>
              <w:t xml:space="preserve"> not diminished although all groups have made good progress from low starting points.   At the end of KS1 pupil premium pupils achieved very good progress, 5.3 points of progress in reading, 6.0 points of progress in writing and 6.0 points of progress in maths</w:t>
            </w:r>
            <w:r w:rsidR="005D65B4" w:rsidRPr="0070342A">
              <w:rPr>
                <w:rFonts w:cs="Arial"/>
                <w:color w:val="auto"/>
              </w:rPr>
              <w:t>.  This was based on Teacher Assessment.</w:t>
            </w:r>
          </w:p>
          <w:p w14:paraId="57F03502" w14:textId="4FC99BF4" w:rsidR="00E96D66" w:rsidRDefault="00E96D66" w:rsidP="00905299">
            <w:pPr>
              <w:suppressAutoHyphens w:val="0"/>
              <w:autoSpaceDN/>
              <w:spacing w:after="200" w:line="276" w:lineRule="auto"/>
              <w:ind w:left="360"/>
              <w:rPr>
                <w:rFonts w:cs="Arial"/>
                <w:color w:val="FF0000"/>
              </w:rPr>
            </w:pPr>
            <w:r>
              <w:rPr>
                <w:noProof/>
              </w:rPr>
              <w:drawing>
                <wp:inline distT="0" distB="0" distL="0" distR="0" wp14:anchorId="0470C04D" wp14:editId="748E0995">
                  <wp:extent cx="3895725" cy="2295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95725" cy="2295525"/>
                          </a:xfrm>
                          <a:prstGeom prst="rect">
                            <a:avLst/>
                          </a:prstGeom>
                        </pic:spPr>
                      </pic:pic>
                    </a:graphicData>
                  </a:graphic>
                </wp:inline>
              </w:drawing>
            </w:r>
          </w:p>
          <w:p w14:paraId="4DCA7574" w14:textId="0E2491D5" w:rsidR="00E96D66" w:rsidRPr="00C26F3E" w:rsidRDefault="00E96D66" w:rsidP="00905299">
            <w:pPr>
              <w:suppressAutoHyphens w:val="0"/>
              <w:autoSpaceDN/>
              <w:spacing w:after="200" w:line="276" w:lineRule="auto"/>
              <w:ind w:left="360"/>
              <w:rPr>
                <w:rFonts w:cs="Arial"/>
                <w:color w:val="FF0000"/>
              </w:rPr>
            </w:pPr>
            <w:r>
              <w:rPr>
                <w:noProof/>
              </w:rPr>
              <w:drawing>
                <wp:inline distT="0" distB="0" distL="0" distR="0" wp14:anchorId="2BFB4423" wp14:editId="6171CF8D">
                  <wp:extent cx="4191000" cy="2238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91000" cy="2238375"/>
                          </a:xfrm>
                          <a:prstGeom prst="rect">
                            <a:avLst/>
                          </a:prstGeom>
                        </pic:spPr>
                      </pic:pic>
                    </a:graphicData>
                  </a:graphic>
                </wp:inline>
              </w:drawing>
            </w:r>
          </w:p>
          <w:p w14:paraId="2A7D5546" w14:textId="0B5826E4" w:rsidR="00E66558" w:rsidRPr="003B5F67" w:rsidRDefault="00E96D66" w:rsidP="003B5F67">
            <w:pPr>
              <w:spacing w:before="120"/>
              <w:rPr>
                <w:i/>
              </w:rPr>
            </w:pPr>
            <w:r>
              <w:rPr>
                <w:noProof/>
              </w:rPr>
              <w:drawing>
                <wp:inline distT="0" distB="0" distL="0" distR="0" wp14:anchorId="5B2CA5C1" wp14:editId="5ADFD11A">
                  <wp:extent cx="4305300" cy="2409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05300" cy="2409825"/>
                          </a:xfrm>
                          <a:prstGeom prst="rect">
                            <a:avLst/>
                          </a:prstGeom>
                        </pic:spPr>
                      </pic:pic>
                    </a:graphicData>
                  </a:graphic>
                </wp:inline>
              </w:drawing>
            </w:r>
            <w:r w:rsidR="009D71E8">
              <w:rPr>
                <w:i/>
                <w:lang w:eastAsia="en-US"/>
              </w:rPr>
              <w:t xml:space="preserve"> </w:t>
            </w:r>
          </w:p>
        </w:tc>
      </w:tr>
    </w:tbl>
    <w:p w14:paraId="375F815F" w14:textId="7D9E8C09" w:rsidR="003B5F67" w:rsidRDefault="003B5F67" w:rsidP="003B5F67">
      <w:pPr>
        <w:rPr>
          <w:sz w:val="28"/>
          <w:szCs w:val="28"/>
        </w:rPr>
      </w:pPr>
    </w:p>
    <w:p w14:paraId="466F40DC" w14:textId="77777777" w:rsidR="006F41F8" w:rsidRDefault="006F41F8" w:rsidP="003B5F67">
      <w:pPr>
        <w:rPr>
          <w:sz w:val="28"/>
          <w:szCs w:val="28"/>
        </w:rPr>
      </w:pPr>
    </w:p>
    <w:p w14:paraId="66F87AF7" w14:textId="0AAD69F8" w:rsidR="003B5F67" w:rsidRPr="00A86663" w:rsidRDefault="003B5F67" w:rsidP="003B5F67">
      <w:pPr>
        <w:rPr>
          <w:color w:val="auto"/>
          <w:sz w:val="28"/>
          <w:szCs w:val="28"/>
        </w:rPr>
      </w:pPr>
      <w:r w:rsidRPr="00A86663">
        <w:rPr>
          <w:color w:val="auto"/>
          <w:sz w:val="28"/>
          <w:szCs w:val="28"/>
        </w:rPr>
        <w:t xml:space="preserve">This details the impact that our pupil premium activity had on pupils in the </w:t>
      </w:r>
      <w:r w:rsidRPr="00A86663">
        <w:rPr>
          <w:b/>
          <w:bCs/>
          <w:color w:val="auto"/>
          <w:sz w:val="28"/>
          <w:szCs w:val="28"/>
        </w:rPr>
        <w:t>202</w:t>
      </w:r>
      <w:r w:rsidR="00B229DB" w:rsidRPr="00A86663">
        <w:rPr>
          <w:b/>
          <w:bCs/>
          <w:color w:val="auto"/>
          <w:sz w:val="28"/>
          <w:szCs w:val="28"/>
        </w:rPr>
        <w:t>1</w:t>
      </w:r>
      <w:r w:rsidRPr="00A86663">
        <w:rPr>
          <w:b/>
          <w:bCs/>
          <w:color w:val="auto"/>
          <w:sz w:val="28"/>
          <w:szCs w:val="28"/>
        </w:rPr>
        <w:t xml:space="preserve"> to </w:t>
      </w:r>
      <w:r w:rsidR="00B229DB" w:rsidRPr="00A86663">
        <w:rPr>
          <w:b/>
          <w:bCs/>
          <w:color w:val="auto"/>
          <w:sz w:val="28"/>
          <w:szCs w:val="28"/>
        </w:rPr>
        <w:t xml:space="preserve">2022 </w:t>
      </w:r>
      <w:r w:rsidRPr="00A86663">
        <w:rPr>
          <w:color w:val="auto"/>
          <w:sz w:val="28"/>
          <w:szCs w:val="28"/>
        </w:rPr>
        <w:t xml:space="preserve">academic year. </w:t>
      </w:r>
    </w:p>
    <w:tbl>
      <w:tblPr>
        <w:tblStyle w:val="TableGrid"/>
        <w:tblpPr w:leftFromText="180" w:rightFromText="180" w:vertAnchor="text" w:horzAnchor="margin" w:tblpY="-54"/>
        <w:tblW w:w="0" w:type="auto"/>
        <w:tblLook w:val="04A0" w:firstRow="1" w:lastRow="0" w:firstColumn="1" w:lastColumn="0" w:noHBand="0" w:noVBand="1"/>
      </w:tblPr>
      <w:tblGrid>
        <w:gridCol w:w="1241"/>
        <w:gridCol w:w="1246"/>
        <w:gridCol w:w="1601"/>
        <w:gridCol w:w="1336"/>
        <w:gridCol w:w="1366"/>
        <w:gridCol w:w="1360"/>
        <w:gridCol w:w="1336"/>
      </w:tblGrid>
      <w:tr w:rsidR="00A86663" w:rsidRPr="00A86663" w14:paraId="42E1A61E" w14:textId="77777777" w:rsidTr="0061724A">
        <w:tc>
          <w:tcPr>
            <w:tcW w:w="9924" w:type="dxa"/>
            <w:gridSpan w:val="7"/>
          </w:tcPr>
          <w:p w14:paraId="6DCBEA1F" w14:textId="77777777" w:rsidR="00B229DB" w:rsidRPr="00A86663" w:rsidRDefault="00B229DB" w:rsidP="0061724A">
            <w:pPr>
              <w:spacing w:line="259" w:lineRule="auto"/>
              <w:jc w:val="center"/>
              <w:rPr>
                <w:rFonts w:cs="Arial"/>
                <w:b/>
                <w:color w:val="auto"/>
                <w:sz w:val="28"/>
                <w:szCs w:val="28"/>
              </w:rPr>
            </w:pPr>
            <w:bookmarkStart w:id="18" w:name="_Hlk116039901"/>
            <w:r w:rsidRPr="00A86663">
              <w:rPr>
                <w:rFonts w:cs="Arial"/>
                <w:b/>
                <w:color w:val="auto"/>
                <w:sz w:val="28"/>
                <w:szCs w:val="28"/>
              </w:rPr>
              <w:t>Year 2 results July 2022</w:t>
            </w:r>
          </w:p>
        </w:tc>
      </w:tr>
      <w:tr w:rsidR="00A86663" w:rsidRPr="00A86663" w14:paraId="4561E102" w14:textId="77777777" w:rsidTr="0061724A">
        <w:tc>
          <w:tcPr>
            <w:tcW w:w="1275" w:type="dxa"/>
          </w:tcPr>
          <w:p w14:paraId="65AE944E" w14:textId="77777777" w:rsidR="00B229DB" w:rsidRPr="00A86663" w:rsidRDefault="00B229DB" w:rsidP="0061724A">
            <w:pPr>
              <w:spacing w:line="259" w:lineRule="auto"/>
              <w:rPr>
                <w:rFonts w:cs="Arial"/>
                <w:color w:val="auto"/>
              </w:rPr>
            </w:pPr>
          </w:p>
        </w:tc>
        <w:tc>
          <w:tcPr>
            <w:tcW w:w="1276" w:type="dxa"/>
          </w:tcPr>
          <w:p w14:paraId="757C5225" w14:textId="77777777" w:rsidR="00B229DB" w:rsidRPr="00A86663" w:rsidRDefault="00B229DB" w:rsidP="0061724A">
            <w:pPr>
              <w:spacing w:line="259" w:lineRule="auto"/>
              <w:rPr>
                <w:rFonts w:cs="Arial"/>
                <w:b/>
                <w:bCs/>
                <w:color w:val="auto"/>
              </w:rPr>
            </w:pPr>
            <w:r w:rsidRPr="00A86663">
              <w:rPr>
                <w:rFonts w:cs="Arial"/>
                <w:b/>
                <w:bCs/>
                <w:color w:val="auto"/>
              </w:rPr>
              <w:t>Reading</w:t>
            </w:r>
          </w:p>
          <w:p w14:paraId="3D683F2A" w14:textId="77777777" w:rsidR="00B229DB" w:rsidRPr="00A86663" w:rsidRDefault="00B229DB" w:rsidP="0061724A">
            <w:pPr>
              <w:spacing w:line="259" w:lineRule="auto"/>
              <w:rPr>
                <w:rFonts w:cs="Arial"/>
                <w:color w:val="auto"/>
              </w:rPr>
            </w:pPr>
            <w:r w:rsidRPr="00A86663">
              <w:rPr>
                <w:rFonts w:cs="Arial"/>
                <w:color w:val="auto"/>
              </w:rPr>
              <w:t>EXS and above</w:t>
            </w:r>
          </w:p>
        </w:tc>
        <w:tc>
          <w:tcPr>
            <w:tcW w:w="1701" w:type="dxa"/>
          </w:tcPr>
          <w:p w14:paraId="634C137C" w14:textId="77777777" w:rsidR="00B229DB" w:rsidRPr="00A86663" w:rsidRDefault="00B229DB" w:rsidP="0061724A">
            <w:pPr>
              <w:spacing w:line="259" w:lineRule="auto"/>
              <w:rPr>
                <w:rFonts w:cs="Arial"/>
                <w:b/>
                <w:bCs/>
                <w:color w:val="auto"/>
              </w:rPr>
            </w:pPr>
            <w:r w:rsidRPr="00A86663">
              <w:rPr>
                <w:rFonts w:cs="Arial"/>
                <w:b/>
                <w:bCs/>
                <w:color w:val="auto"/>
              </w:rPr>
              <w:t>Writing</w:t>
            </w:r>
          </w:p>
          <w:p w14:paraId="78946518" w14:textId="77777777" w:rsidR="00B229DB" w:rsidRPr="00A86663" w:rsidRDefault="00B229DB" w:rsidP="0061724A">
            <w:pPr>
              <w:spacing w:line="259" w:lineRule="auto"/>
              <w:rPr>
                <w:rFonts w:cs="Arial"/>
                <w:color w:val="auto"/>
              </w:rPr>
            </w:pPr>
            <w:r w:rsidRPr="00A86663">
              <w:rPr>
                <w:rFonts w:cs="Arial"/>
                <w:color w:val="auto"/>
              </w:rPr>
              <w:t>EXS and above</w:t>
            </w:r>
          </w:p>
        </w:tc>
        <w:tc>
          <w:tcPr>
            <w:tcW w:w="1418" w:type="dxa"/>
          </w:tcPr>
          <w:p w14:paraId="6FF73CE2" w14:textId="77777777" w:rsidR="00B229DB" w:rsidRPr="00A86663" w:rsidRDefault="00B229DB" w:rsidP="0061724A">
            <w:pPr>
              <w:spacing w:line="259" w:lineRule="auto"/>
              <w:rPr>
                <w:rFonts w:cs="Arial"/>
                <w:b/>
                <w:bCs/>
                <w:color w:val="auto"/>
              </w:rPr>
            </w:pPr>
            <w:r w:rsidRPr="00A86663">
              <w:rPr>
                <w:rFonts w:cs="Arial"/>
                <w:b/>
                <w:bCs/>
                <w:color w:val="auto"/>
              </w:rPr>
              <w:t>Maths</w:t>
            </w:r>
          </w:p>
          <w:p w14:paraId="7AE78AFB" w14:textId="77777777" w:rsidR="00B229DB" w:rsidRPr="00A86663" w:rsidRDefault="00B229DB" w:rsidP="0061724A">
            <w:pPr>
              <w:spacing w:line="259" w:lineRule="auto"/>
              <w:rPr>
                <w:rFonts w:cs="Arial"/>
                <w:color w:val="auto"/>
              </w:rPr>
            </w:pPr>
            <w:r w:rsidRPr="00A86663">
              <w:rPr>
                <w:rFonts w:cs="Arial"/>
                <w:color w:val="auto"/>
              </w:rPr>
              <w:t>EXS and above</w:t>
            </w:r>
          </w:p>
        </w:tc>
        <w:tc>
          <w:tcPr>
            <w:tcW w:w="1418" w:type="dxa"/>
          </w:tcPr>
          <w:p w14:paraId="1FCBBA25" w14:textId="77777777" w:rsidR="00B229DB" w:rsidRPr="00A86663" w:rsidRDefault="00B229DB" w:rsidP="0061724A">
            <w:pPr>
              <w:spacing w:line="259" w:lineRule="auto"/>
              <w:rPr>
                <w:rFonts w:cs="Arial"/>
                <w:b/>
                <w:bCs/>
                <w:color w:val="auto"/>
              </w:rPr>
            </w:pPr>
            <w:r w:rsidRPr="00A86663">
              <w:rPr>
                <w:rFonts w:cs="Arial"/>
                <w:b/>
                <w:bCs/>
                <w:color w:val="auto"/>
              </w:rPr>
              <w:t>Reading</w:t>
            </w:r>
          </w:p>
          <w:p w14:paraId="65B0D3C3" w14:textId="77777777" w:rsidR="00B229DB" w:rsidRPr="00A86663" w:rsidRDefault="00B229DB" w:rsidP="0061724A">
            <w:pPr>
              <w:spacing w:line="259" w:lineRule="auto"/>
              <w:jc w:val="center"/>
              <w:rPr>
                <w:rFonts w:cs="Arial"/>
                <w:color w:val="auto"/>
              </w:rPr>
            </w:pPr>
            <w:r w:rsidRPr="00A86663">
              <w:rPr>
                <w:rFonts w:cs="Arial"/>
                <w:color w:val="auto"/>
              </w:rPr>
              <w:t>GD</w:t>
            </w:r>
          </w:p>
        </w:tc>
        <w:tc>
          <w:tcPr>
            <w:tcW w:w="1418" w:type="dxa"/>
          </w:tcPr>
          <w:p w14:paraId="4BB8D421" w14:textId="77777777" w:rsidR="00B229DB" w:rsidRPr="00A86663" w:rsidRDefault="00B229DB" w:rsidP="0061724A">
            <w:pPr>
              <w:spacing w:line="259" w:lineRule="auto"/>
              <w:jc w:val="center"/>
              <w:rPr>
                <w:rFonts w:cs="Arial"/>
                <w:b/>
                <w:bCs/>
                <w:color w:val="auto"/>
              </w:rPr>
            </w:pPr>
            <w:r w:rsidRPr="00A86663">
              <w:rPr>
                <w:rFonts w:cs="Arial"/>
                <w:b/>
                <w:bCs/>
                <w:color w:val="auto"/>
              </w:rPr>
              <w:t>Writing</w:t>
            </w:r>
          </w:p>
          <w:p w14:paraId="0CAECC3C" w14:textId="77777777" w:rsidR="00B229DB" w:rsidRPr="00A86663" w:rsidRDefault="00B229DB" w:rsidP="0061724A">
            <w:pPr>
              <w:spacing w:line="259" w:lineRule="auto"/>
              <w:jc w:val="center"/>
              <w:rPr>
                <w:rFonts w:cs="Arial"/>
                <w:color w:val="auto"/>
              </w:rPr>
            </w:pPr>
            <w:r w:rsidRPr="00A86663">
              <w:rPr>
                <w:rFonts w:cs="Arial"/>
                <w:color w:val="auto"/>
              </w:rPr>
              <w:t>GD</w:t>
            </w:r>
          </w:p>
        </w:tc>
        <w:tc>
          <w:tcPr>
            <w:tcW w:w="1418" w:type="dxa"/>
          </w:tcPr>
          <w:p w14:paraId="28DDCFE6" w14:textId="77777777" w:rsidR="00B229DB" w:rsidRPr="00A86663" w:rsidRDefault="00B229DB" w:rsidP="0061724A">
            <w:pPr>
              <w:spacing w:line="259" w:lineRule="auto"/>
              <w:jc w:val="center"/>
              <w:rPr>
                <w:rFonts w:cs="Arial"/>
                <w:b/>
                <w:bCs/>
                <w:color w:val="auto"/>
              </w:rPr>
            </w:pPr>
            <w:r w:rsidRPr="00A86663">
              <w:rPr>
                <w:rFonts w:cs="Arial"/>
                <w:b/>
                <w:bCs/>
                <w:color w:val="auto"/>
              </w:rPr>
              <w:t xml:space="preserve">Maths </w:t>
            </w:r>
          </w:p>
          <w:p w14:paraId="607D6393" w14:textId="77777777" w:rsidR="00B229DB" w:rsidRPr="00A86663" w:rsidRDefault="00B229DB" w:rsidP="0061724A">
            <w:pPr>
              <w:spacing w:line="259" w:lineRule="auto"/>
              <w:jc w:val="center"/>
              <w:rPr>
                <w:rFonts w:cs="Arial"/>
                <w:color w:val="auto"/>
              </w:rPr>
            </w:pPr>
            <w:r w:rsidRPr="00A86663">
              <w:rPr>
                <w:rFonts w:cs="Arial"/>
                <w:color w:val="auto"/>
              </w:rPr>
              <w:t>GD</w:t>
            </w:r>
          </w:p>
        </w:tc>
      </w:tr>
      <w:tr w:rsidR="00A86663" w:rsidRPr="00A86663" w14:paraId="77ABF121" w14:textId="77777777" w:rsidTr="0061724A">
        <w:tc>
          <w:tcPr>
            <w:tcW w:w="1275" w:type="dxa"/>
          </w:tcPr>
          <w:p w14:paraId="5701E510" w14:textId="77777777" w:rsidR="00B229DB" w:rsidRPr="00A86663" w:rsidRDefault="00B229DB" w:rsidP="0061724A">
            <w:pPr>
              <w:spacing w:line="259" w:lineRule="auto"/>
              <w:rPr>
                <w:rFonts w:cs="Arial"/>
                <w:color w:val="auto"/>
              </w:rPr>
            </w:pPr>
            <w:r w:rsidRPr="00A86663">
              <w:rPr>
                <w:rFonts w:cs="Arial"/>
                <w:color w:val="auto"/>
              </w:rPr>
              <w:t>School</w:t>
            </w:r>
          </w:p>
        </w:tc>
        <w:tc>
          <w:tcPr>
            <w:tcW w:w="1276" w:type="dxa"/>
          </w:tcPr>
          <w:p w14:paraId="7EBD80C2" w14:textId="77777777" w:rsidR="00B229DB" w:rsidRPr="00A86663" w:rsidRDefault="00B229DB" w:rsidP="0061724A">
            <w:pPr>
              <w:spacing w:line="259" w:lineRule="auto"/>
              <w:jc w:val="center"/>
              <w:rPr>
                <w:rFonts w:cs="Arial"/>
                <w:color w:val="auto"/>
              </w:rPr>
            </w:pPr>
            <w:r w:rsidRPr="00A86663">
              <w:rPr>
                <w:rFonts w:cs="Arial"/>
                <w:color w:val="auto"/>
              </w:rPr>
              <w:t>81%</w:t>
            </w:r>
          </w:p>
        </w:tc>
        <w:tc>
          <w:tcPr>
            <w:tcW w:w="1701" w:type="dxa"/>
          </w:tcPr>
          <w:p w14:paraId="47018C89" w14:textId="77777777" w:rsidR="00B229DB" w:rsidRPr="00A86663" w:rsidRDefault="00B229DB" w:rsidP="0061724A">
            <w:pPr>
              <w:spacing w:line="259" w:lineRule="auto"/>
              <w:jc w:val="center"/>
              <w:rPr>
                <w:rFonts w:cs="Arial"/>
                <w:color w:val="auto"/>
              </w:rPr>
            </w:pPr>
            <w:r w:rsidRPr="00A86663">
              <w:rPr>
                <w:rFonts w:cs="Arial"/>
                <w:color w:val="auto"/>
              </w:rPr>
              <w:t>71%</w:t>
            </w:r>
          </w:p>
        </w:tc>
        <w:tc>
          <w:tcPr>
            <w:tcW w:w="1418" w:type="dxa"/>
          </w:tcPr>
          <w:p w14:paraId="21793991" w14:textId="77777777" w:rsidR="00B229DB" w:rsidRPr="00A86663" w:rsidRDefault="00B229DB" w:rsidP="0061724A">
            <w:pPr>
              <w:spacing w:line="259" w:lineRule="auto"/>
              <w:jc w:val="center"/>
              <w:rPr>
                <w:rFonts w:cs="Arial"/>
                <w:color w:val="auto"/>
              </w:rPr>
            </w:pPr>
            <w:r w:rsidRPr="00A86663">
              <w:rPr>
                <w:rFonts w:cs="Arial"/>
                <w:color w:val="auto"/>
              </w:rPr>
              <w:t>84%</w:t>
            </w:r>
          </w:p>
        </w:tc>
        <w:tc>
          <w:tcPr>
            <w:tcW w:w="1418" w:type="dxa"/>
          </w:tcPr>
          <w:p w14:paraId="42A22254" w14:textId="77777777" w:rsidR="00B229DB" w:rsidRPr="00A86663" w:rsidRDefault="00B229DB" w:rsidP="0061724A">
            <w:pPr>
              <w:spacing w:line="259" w:lineRule="auto"/>
              <w:jc w:val="center"/>
              <w:rPr>
                <w:rFonts w:cs="Arial"/>
                <w:color w:val="auto"/>
              </w:rPr>
            </w:pPr>
            <w:r w:rsidRPr="00A86663">
              <w:rPr>
                <w:rFonts w:cs="Arial"/>
                <w:color w:val="auto"/>
              </w:rPr>
              <w:t>22%</w:t>
            </w:r>
          </w:p>
        </w:tc>
        <w:tc>
          <w:tcPr>
            <w:tcW w:w="1418" w:type="dxa"/>
          </w:tcPr>
          <w:p w14:paraId="610BC243" w14:textId="77777777" w:rsidR="00B229DB" w:rsidRPr="00A86663" w:rsidRDefault="00B229DB" w:rsidP="0061724A">
            <w:pPr>
              <w:spacing w:line="259" w:lineRule="auto"/>
              <w:jc w:val="center"/>
              <w:rPr>
                <w:rFonts w:cs="Arial"/>
                <w:color w:val="auto"/>
              </w:rPr>
            </w:pPr>
            <w:r w:rsidRPr="00A86663">
              <w:rPr>
                <w:rFonts w:cs="Arial"/>
                <w:color w:val="auto"/>
              </w:rPr>
              <w:t>10%</w:t>
            </w:r>
          </w:p>
        </w:tc>
        <w:tc>
          <w:tcPr>
            <w:tcW w:w="1418" w:type="dxa"/>
          </w:tcPr>
          <w:p w14:paraId="1B2864B3" w14:textId="77777777" w:rsidR="00B229DB" w:rsidRPr="00A86663" w:rsidRDefault="00B229DB" w:rsidP="0061724A">
            <w:pPr>
              <w:spacing w:line="259" w:lineRule="auto"/>
              <w:jc w:val="center"/>
              <w:rPr>
                <w:rFonts w:cs="Arial"/>
                <w:color w:val="auto"/>
              </w:rPr>
            </w:pPr>
            <w:r w:rsidRPr="00A86663">
              <w:rPr>
                <w:rFonts w:cs="Arial"/>
                <w:color w:val="auto"/>
              </w:rPr>
              <w:t>16%</w:t>
            </w:r>
          </w:p>
        </w:tc>
      </w:tr>
      <w:tr w:rsidR="00A86663" w:rsidRPr="00A86663" w14:paraId="767ED897" w14:textId="77777777" w:rsidTr="0061724A">
        <w:tc>
          <w:tcPr>
            <w:tcW w:w="1275" w:type="dxa"/>
          </w:tcPr>
          <w:p w14:paraId="1A4E717B" w14:textId="77777777" w:rsidR="00B229DB" w:rsidRPr="00A86663" w:rsidRDefault="00B229DB" w:rsidP="0061724A">
            <w:pPr>
              <w:spacing w:line="259" w:lineRule="auto"/>
              <w:rPr>
                <w:rFonts w:cs="Arial"/>
                <w:color w:val="auto"/>
              </w:rPr>
            </w:pPr>
            <w:r w:rsidRPr="00A86663">
              <w:rPr>
                <w:rFonts w:cs="Arial"/>
                <w:color w:val="auto"/>
              </w:rPr>
              <w:t>LA</w:t>
            </w:r>
          </w:p>
        </w:tc>
        <w:tc>
          <w:tcPr>
            <w:tcW w:w="1276" w:type="dxa"/>
          </w:tcPr>
          <w:p w14:paraId="4E644424" w14:textId="77777777" w:rsidR="00B229DB" w:rsidRPr="00A86663" w:rsidRDefault="00B229DB" w:rsidP="0061724A">
            <w:pPr>
              <w:spacing w:line="259" w:lineRule="auto"/>
              <w:jc w:val="center"/>
              <w:rPr>
                <w:rFonts w:cs="Arial"/>
                <w:color w:val="auto"/>
              </w:rPr>
            </w:pPr>
            <w:r w:rsidRPr="00A86663">
              <w:rPr>
                <w:rFonts w:cs="Arial"/>
                <w:color w:val="auto"/>
              </w:rPr>
              <w:t>65%</w:t>
            </w:r>
          </w:p>
        </w:tc>
        <w:tc>
          <w:tcPr>
            <w:tcW w:w="1701" w:type="dxa"/>
          </w:tcPr>
          <w:p w14:paraId="7796E55A" w14:textId="77777777" w:rsidR="00B229DB" w:rsidRPr="00A86663" w:rsidRDefault="00B229DB" w:rsidP="0061724A">
            <w:pPr>
              <w:spacing w:line="259" w:lineRule="auto"/>
              <w:jc w:val="center"/>
              <w:rPr>
                <w:rFonts w:cs="Arial"/>
                <w:color w:val="auto"/>
              </w:rPr>
            </w:pPr>
            <w:r w:rsidRPr="00A86663">
              <w:rPr>
                <w:rFonts w:cs="Arial"/>
                <w:color w:val="auto"/>
              </w:rPr>
              <w:t>56%</w:t>
            </w:r>
          </w:p>
        </w:tc>
        <w:tc>
          <w:tcPr>
            <w:tcW w:w="1418" w:type="dxa"/>
          </w:tcPr>
          <w:p w14:paraId="72E9AA73" w14:textId="77777777" w:rsidR="00B229DB" w:rsidRPr="00A86663" w:rsidRDefault="00B229DB" w:rsidP="0061724A">
            <w:pPr>
              <w:spacing w:line="259" w:lineRule="auto"/>
              <w:jc w:val="center"/>
              <w:rPr>
                <w:rFonts w:cs="Arial"/>
                <w:color w:val="auto"/>
              </w:rPr>
            </w:pPr>
            <w:r w:rsidRPr="00A86663">
              <w:rPr>
                <w:rFonts w:cs="Arial"/>
                <w:color w:val="auto"/>
              </w:rPr>
              <w:t>66%</w:t>
            </w:r>
          </w:p>
        </w:tc>
        <w:tc>
          <w:tcPr>
            <w:tcW w:w="1418" w:type="dxa"/>
          </w:tcPr>
          <w:p w14:paraId="093CE841" w14:textId="77777777" w:rsidR="00B229DB" w:rsidRPr="00A86663" w:rsidRDefault="00B229DB" w:rsidP="0061724A">
            <w:pPr>
              <w:spacing w:line="259" w:lineRule="auto"/>
              <w:jc w:val="center"/>
              <w:rPr>
                <w:rFonts w:cs="Arial"/>
                <w:color w:val="auto"/>
              </w:rPr>
            </w:pPr>
            <w:r w:rsidRPr="00A86663">
              <w:rPr>
                <w:rFonts w:cs="Arial"/>
                <w:color w:val="auto"/>
              </w:rPr>
              <w:t>17%</w:t>
            </w:r>
          </w:p>
        </w:tc>
        <w:tc>
          <w:tcPr>
            <w:tcW w:w="1418" w:type="dxa"/>
          </w:tcPr>
          <w:p w14:paraId="00A6BD70" w14:textId="77777777" w:rsidR="00B229DB" w:rsidRPr="00A86663" w:rsidRDefault="00B229DB" w:rsidP="0061724A">
            <w:pPr>
              <w:spacing w:line="259" w:lineRule="auto"/>
              <w:jc w:val="center"/>
              <w:rPr>
                <w:rFonts w:cs="Arial"/>
                <w:color w:val="auto"/>
              </w:rPr>
            </w:pPr>
            <w:r w:rsidRPr="00A86663">
              <w:rPr>
                <w:rFonts w:cs="Arial"/>
                <w:color w:val="auto"/>
              </w:rPr>
              <w:t>7%</w:t>
            </w:r>
          </w:p>
        </w:tc>
        <w:tc>
          <w:tcPr>
            <w:tcW w:w="1418" w:type="dxa"/>
          </w:tcPr>
          <w:p w14:paraId="17BE3187" w14:textId="77777777" w:rsidR="00B229DB" w:rsidRPr="00A86663" w:rsidRDefault="00B229DB" w:rsidP="0061724A">
            <w:pPr>
              <w:spacing w:line="259" w:lineRule="auto"/>
              <w:jc w:val="center"/>
              <w:rPr>
                <w:rFonts w:cs="Arial"/>
                <w:color w:val="auto"/>
              </w:rPr>
            </w:pPr>
            <w:r w:rsidRPr="00A86663">
              <w:rPr>
                <w:rFonts w:cs="Arial"/>
                <w:color w:val="auto"/>
              </w:rPr>
              <w:t>16%</w:t>
            </w:r>
          </w:p>
        </w:tc>
      </w:tr>
      <w:tr w:rsidR="00A86663" w:rsidRPr="00A86663" w14:paraId="62D7074E" w14:textId="77777777" w:rsidTr="0061724A">
        <w:tc>
          <w:tcPr>
            <w:tcW w:w="1275" w:type="dxa"/>
          </w:tcPr>
          <w:p w14:paraId="7B48084F" w14:textId="77777777" w:rsidR="00B229DB" w:rsidRPr="00A86663" w:rsidRDefault="00B229DB" w:rsidP="0061724A">
            <w:pPr>
              <w:spacing w:line="259" w:lineRule="auto"/>
              <w:rPr>
                <w:rFonts w:cs="Arial"/>
                <w:color w:val="auto"/>
              </w:rPr>
            </w:pPr>
            <w:r w:rsidRPr="00A86663">
              <w:rPr>
                <w:rFonts w:cs="Arial"/>
                <w:color w:val="auto"/>
              </w:rPr>
              <w:t>National</w:t>
            </w:r>
          </w:p>
        </w:tc>
        <w:tc>
          <w:tcPr>
            <w:tcW w:w="1276" w:type="dxa"/>
          </w:tcPr>
          <w:p w14:paraId="1573B311" w14:textId="77777777" w:rsidR="00B229DB" w:rsidRPr="00A86663" w:rsidRDefault="00B229DB" w:rsidP="0061724A">
            <w:pPr>
              <w:spacing w:line="259" w:lineRule="auto"/>
              <w:jc w:val="center"/>
              <w:rPr>
                <w:rFonts w:cs="Arial"/>
                <w:color w:val="auto"/>
              </w:rPr>
            </w:pPr>
            <w:r w:rsidRPr="00A86663">
              <w:rPr>
                <w:rFonts w:cs="Arial"/>
                <w:color w:val="auto"/>
              </w:rPr>
              <w:t>67%</w:t>
            </w:r>
          </w:p>
        </w:tc>
        <w:tc>
          <w:tcPr>
            <w:tcW w:w="1701" w:type="dxa"/>
          </w:tcPr>
          <w:p w14:paraId="12A94A1A" w14:textId="77777777" w:rsidR="00B229DB" w:rsidRPr="00A86663" w:rsidRDefault="00B229DB" w:rsidP="0061724A">
            <w:pPr>
              <w:spacing w:line="259" w:lineRule="auto"/>
              <w:jc w:val="center"/>
              <w:rPr>
                <w:rFonts w:cs="Arial"/>
                <w:color w:val="auto"/>
              </w:rPr>
            </w:pPr>
            <w:r w:rsidRPr="00A86663">
              <w:rPr>
                <w:rFonts w:cs="Arial"/>
                <w:color w:val="auto"/>
              </w:rPr>
              <w:t>58%</w:t>
            </w:r>
          </w:p>
        </w:tc>
        <w:tc>
          <w:tcPr>
            <w:tcW w:w="1418" w:type="dxa"/>
          </w:tcPr>
          <w:p w14:paraId="038C8065" w14:textId="77777777" w:rsidR="00B229DB" w:rsidRPr="00A86663" w:rsidRDefault="00B229DB" w:rsidP="0061724A">
            <w:pPr>
              <w:spacing w:line="259" w:lineRule="auto"/>
              <w:jc w:val="center"/>
              <w:rPr>
                <w:rFonts w:cs="Arial"/>
                <w:color w:val="auto"/>
              </w:rPr>
            </w:pPr>
            <w:r w:rsidRPr="00A86663">
              <w:rPr>
                <w:rFonts w:cs="Arial"/>
                <w:color w:val="auto"/>
              </w:rPr>
              <w:t>68%%</w:t>
            </w:r>
          </w:p>
        </w:tc>
        <w:tc>
          <w:tcPr>
            <w:tcW w:w="1418" w:type="dxa"/>
          </w:tcPr>
          <w:p w14:paraId="402657F7" w14:textId="77777777" w:rsidR="00B229DB" w:rsidRPr="00A86663" w:rsidRDefault="00B229DB" w:rsidP="0061724A">
            <w:pPr>
              <w:spacing w:line="259" w:lineRule="auto"/>
              <w:jc w:val="center"/>
              <w:rPr>
                <w:rFonts w:cs="Arial"/>
                <w:color w:val="auto"/>
              </w:rPr>
            </w:pPr>
            <w:r w:rsidRPr="00A86663">
              <w:rPr>
                <w:rFonts w:cs="Arial"/>
                <w:color w:val="auto"/>
              </w:rPr>
              <w:t>18%</w:t>
            </w:r>
          </w:p>
        </w:tc>
        <w:tc>
          <w:tcPr>
            <w:tcW w:w="1418" w:type="dxa"/>
          </w:tcPr>
          <w:p w14:paraId="1A097E31" w14:textId="77777777" w:rsidR="00B229DB" w:rsidRPr="00A86663" w:rsidRDefault="00B229DB" w:rsidP="0061724A">
            <w:pPr>
              <w:spacing w:line="259" w:lineRule="auto"/>
              <w:jc w:val="center"/>
              <w:rPr>
                <w:rFonts w:cs="Arial"/>
                <w:color w:val="auto"/>
              </w:rPr>
            </w:pPr>
            <w:r w:rsidRPr="00A86663">
              <w:rPr>
                <w:rFonts w:cs="Arial"/>
                <w:color w:val="auto"/>
              </w:rPr>
              <w:t>8%</w:t>
            </w:r>
          </w:p>
        </w:tc>
        <w:tc>
          <w:tcPr>
            <w:tcW w:w="1418" w:type="dxa"/>
          </w:tcPr>
          <w:p w14:paraId="793AE102" w14:textId="77777777" w:rsidR="00B229DB" w:rsidRPr="00A86663" w:rsidRDefault="00B229DB" w:rsidP="0061724A">
            <w:pPr>
              <w:spacing w:line="259" w:lineRule="auto"/>
              <w:jc w:val="center"/>
              <w:rPr>
                <w:rFonts w:cs="Arial"/>
                <w:color w:val="auto"/>
              </w:rPr>
            </w:pPr>
            <w:r w:rsidRPr="00A86663">
              <w:rPr>
                <w:rFonts w:cs="Arial"/>
                <w:color w:val="auto"/>
              </w:rPr>
              <w:t>15%</w:t>
            </w:r>
          </w:p>
        </w:tc>
      </w:tr>
      <w:bookmarkEnd w:id="18"/>
    </w:tbl>
    <w:p w14:paraId="6E4025A8" w14:textId="77777777" w:rsidR="00B229DB" w:rsidRPr="00A86663" w:rsidRDefault="00B229DB" w:rsidP="00B229DB">
      <w:pPr>
        <w:spacing w:line="259" w:lineRule="auto"/>
        <w:rPr>
          <w:rFonts w:cs="Arial"/>
          <w:color w:val="auto"/>
        </w:rPr>
      </w:pPr>
    </w:p>
    <w:tbl>
      <w:tblPr>
        <w:tblStyle w:val="TableGrid"/>
        <w:tblW w:w="0" w:type="auto"/>
        <w:tblInd w:w="279" w:type="dxa"/>
        <w:tblLook w:val="04A0" w:firstRow="1" w:lastRow="0" w:firstColumn="1" w:lastColumn="0" w:noHBand="0" w:noVBand="1"/>
      </w:tblPr>
      <w:tblGrid>
        <w:gridCol w:w="3544"/>
        <w:gridCol w:w="1701"/>
        <w:gridCol w:w="1842"/>
        <w:gridCol w:w="1843"/>
      </w:tblGrid>
      <w:tr w:rsidR="00A86663" w:rsidRPr="00A86663" w14:paraId="64B1CECB" w14:textId="77777777" w:rsidTr="00A86BA8">
        <w:tc>
          <w:tcPr>
            <w:tcW w:w="8930" w:type="dxa"/>
            <w:gridSpan w:val="4"/>
          </w:tcPr>
          <w:p w14:paraId="51026A38" w14:textId="7FD782F9" w:rsidR="00B229DB" w:rsidRPr="00A86663" w:rsidRDefault="00B229DB" w:rsidP="0061724A">
            <w:pPr>
              <w:spacing w:line="259" w:lineRule="auto"/>
              <w:jc w:val="center"/>
              <w:rPr>
                <w:rFonts w:cs="Arial"/>
                <w:b/>
                <w:bCs/>
                <w:color w:val="auto"/>
                <w:sz w:val="28"/>
                <w:szCs w:val="28"/>
              </w:rPr>
            </w:pPr>
            <w:bookmarkStart w:id="19" w:name="_Hlk153356850"/>
            <w:r w:rsidRPr="00A86663">
              <w:rPr>
                <w:rFonts w:cs="Arial"/>
                <w:b/>
                <w:bCs/>
                <w:color w:val="auto"/>
                <w:sz w:val="28"/>
                <w:szCs w:val="28"/>
              </w:rPr>
              <w:t>Year 2 Pupil Premium Results July 2022</w:t>
            </w:r>
          </w:p>
        </w:tc>
      </w:tr>
      <w:tr w:rsidR="00A86663" w:rsidRPr="00A86663" w14:paraId="34BCD35F" w14:textId="77777777" w:rsidTr="0061724A">
        <w:tc>
          <w:tcPr>
            <w:tcW w:w="3544" w:type="dxa"/>
          </w:tcPr>
          <w:p w14:paraId="55F1A27B" w14:textId="77777777" w:rsidR="00B229DB" w:rsidRPr="00A86663" w:rsidRDefault="00B229DB" w:rsidP="0061724A">
            <w:pPr>
              <w:spacing w:line="259" w:lineRule="auto"/>
              <w:rPr>
                <w:rFonts w:cs="Arial"/>
                <w:b/>
                <w:bCs/>
                <w:color w:val="auto"/>
              </w:rPr>
            </w:pPr>
            <w:r w:rsidRPr="00A86663">
              <w:rPr>
                <w:rFonts w:cs="Arial"/>
                <w:b/>
                <w:bCs/>
                <w:color w:val="auto"/>
              </w:rPr>
              <w:t xml:space="preserve">Summer </w:t>
            </w:r>
            <w:r w:rsidRPr="00A86663">
              <w:rPr>
                <w:rFonts w:cs="Arial"/>
                <w:color w:val="auto"/>
              </w:rPr>
              <w:t>(July 2022)</w:t>
            </w:r>
          </w:p>
        </w:tc>
        <w:tc>
          <w:tcPr>
            <w:tcW w:w="1701" w:type="dxa"/>
          </w:tcPr>
          <w:p w14:paraId="31F326A5" w14:textId="77777777" w:rsidR="00B229DB" w:rsidRPr="00A86663" w:rsidRDefault="00B229DB" w:rsidP="0061724A">
            <w:pPr>
              <w:spacing w:line="259" w:lineRule="auto"/>
              <w:jc w:val="center"/>
              <w:rPr>
                <w:rFonts w:cs="Arial"/>
                <w:b/>
                <w:bCs/>
                <w:color w:val="auto"/>
              </w:rPr>
            </w:pPr>
            <w:r w:rsidRPr="00A86663">
              <w:rPr>
                <w:rFonts w:cs="Arial"/>
                <w:b/>
                <w:bCs/>
                <w:color w:val="auto"/>
              </w:rPr>
              <w:t>R</w:t>
            </w:r>
          </w:p>
        </w:tc>
        <w:tc>
          <w:tcPr>
            <w:tcW w:w="1842" w:type="dxa"/>
          </w:tcPr>
          <w:p w14:paraId="581E593D" w14:textId="77777777" w:rsidR="00B229DB" w:rsidRPr="00A86663" w:rsidRDefault="00B229DB" w:rsidP="0061724A">
            <w:pPr>
              <w:spacing w:line="259" w:lineRule="auto"/>
              <w:jc w:val="center"/>
              <w:rPr>
                <w:rFonts w:cs="Arial"/>
                <w:b/>
                <w:bCs/>
                <w:color w:val="auto"/>
              </w:rPr>
            </w:pPr>
            <w:r w:rsidRPr="00A86663">
              <w:rPr>
                <w:rFonts w:cs="Arial"/>
                <w:b/>
                <w:bCs/>
                <w:color w:val="auto"/>
              </w:rPr>
              <w:t>W</w:t>
            </w:r>
          </w:p>
        </w:tc>
        <w:tc>
          <w:tcPr>
            <w:tcW w:w="1843" w:type="dxa"/>
          </w:tcPr>
          <w:p w14:paraId="1F525613" w14:textId="77777777" w:rsidR="00B229DB" w:rsidRPr="00A86663" w:rsidRDefault="00B229DB" w:rsidP="0061724A">
            <w:pPr>
              <w:spacing w:line="259" w:lineRule="auto"/>
              <w:jc w:val="center"/>
              <w:rPr>
                <w:rFonts w:cs="Arial"/>
                <w:b/>
                <w:bCs/>
                <w:color w:val="auto"/>
              </w:rPr>
            </w:pPr>
            <w:r w:rsidRPr="00A86663">
              <w:rPr>
                <w:rFonts w:cs="Arial"/>
                <w:b/>
                <w:bCs/>
                <w:color w:val="auto"/>
              </w:rPr>
              <w:t>M</w:t>
            </w:r>
          </w:p>
        </w:tc>
      </w:tr>
      <w:tr w:rsidR="00A86663" w:rsidRPr="00A86663" w14:paraId="739FE993" w14:textId="77777777" w:rsidTr="0061724A">
        <w:tc>
          <w:tcPr>
            <w:tcW w:w="3544" w:type="dxa"/>
          </w:tcPr>
          <w:p w14:paraId="4B05AD64" w14:textId="77777777" w:rsidR="00B229DB" w:rsidRPr="00A86663" w:rsidRDefault="00B229DB" w:rsidP="0061724A">
            <w:pPr>
              <w:spacing w:line="259" w:lineRule="auto"/>
              <w:rPr>
                <w:rFonts w:cs="Arial"/>
                <w:color w:val="auto"/>
                <w:sz w:val="20"/>
                <w:szCs w:val="20"/>
              </w:rPr>
            </w:pPr>
            <w:r w:rsidRPr="00A86663">
              <w:rPr>
                <w:rFonts w:cs="Arial"/>
                <w:color w:val="auto"/>
              </w:rPr>
              <w:t xml:space="preserve">Non-Pupil Premium </w:t>
            </w:r>
            <w:r w:rsidRPr="00A86663">
              <w:rPr>
                <w:rFonts w:cs="Arial"/>
                <w:color w:val="auto"/>
                <w:sz w:val="20"/>
                <w:szCs w:val="20"/>
              </w:rPr>
              <w:t>(54 pupils)</w:t>
            </w:r>
          </w:p>
        </w:tc>
        <w:tc>
          <w:tcPr>
            <w:tcW w:w="1701" w:type="dxa"/>
          </w:tcPr>
          <w:p w14:paraId="33D9B2EA" w14:textId="77777777" w:rsidR="00B229DB" w:rsidRPr="00A86663" w:rsidRDefault="00B229DB" w:rsidP="0061724A">
            <w:pPr>
              <w:spacing w:line="259" w:lineRule="auto"/>
              <w:jc w:val="center"/>
              <w:rPr>
                <w:rFonts w:cs="Arial"/>
                <w:color w:val="auto"/>
              </w:rPr>
            </w:pPr>
            <w:r w:rsidRPr="00A86663">
              <w:rPr>
                <w:rFonts w:cs="Arial"/>
                <w:color w:val="auto"/>
              </w:rPr>
              <w:t>81%</w:t>
            </w:r>
          </w:p>
        </w:tc>
        <w:tc>
          <w:tcPr>
            <w:tcW w:w="1842" w:type="dxa"/>
          </w:tcPr>
          <w:p w14:paraId="41B18FD4" w14:textId="77777777" w:rsidR="00B229DB" w:rsidRPr="00A86663" w:rsidRDefault="00B229DB" w:rsidP="0061724A">
            <w:pPr>
              <w:spacing w:line="259" w:lineRule="auto"/>
              <w:jc w:val="center"/>
              <w:rPr>
                <w:rFonts w:cs="Arial"/>
                <w:color w:val="auto"/>
              </w:rPr>
            </w:pPr>
            <w:r w:rsidRPr="00A86663">
              <w:rPr>
                <w:rFonts w:cs="Arial"/>
                <w:color w:val="auto"/>
              </w:rPr>
              <w:t>74%</w:t>
            </w:r>
          </w:p>
        </w:tc>
        <w:tc>
          <w:tcPr>
            <w:tcW w:w="1843" w:type="dxa"/>
          </w:tcPr>
          <w:p w14:paraId="53E7832B" w14:textId="77777777" w:rsidR="00B229DB" w:rsidRPr="00A86663" w:rsidRDefault="00B229DB" w:rsidP="0061724A">
            <w:pPr>
              <w:spacing w:line="259" w:lineRule="auto"/>
              <w:jc w:val="center"/>
              <w:rPr>
                <w:rFonts w:cs="Arial"/>
                <w:color w:val="auto"/>
              </w:rPr>
            </w:pPr>
            <w:r w:rsidRPr="00A86663">
              <w:rPr>
                <w:rFonts w:cs="Arial"/>
                <w:color w:val="auto"/>
              </w:rPr>
              <w:t>85%</w:t>
            </w:r>
          </w:p>
        </w:tc>
      </w:tr>
      <w:tr w:rsidR="00A86663" w:rsidRPr="00A86663" w14:paraId="16226890" w14:textId="77777777" w:rsidTr="0061724A">
        <w:tc>
          <w:tcPr>
            <w:tcW w:w="3544" w:type="dxa"/>
          </w:tcPr>
          <w:p w14:paraId="58D0AE40" w14:textId="77777777" w:rsidR="00B229DB" w:rsidRPr="00A86663" w:rsidRDefault="00B229DB" w:rsidP="0061724A">
            <w:pPr>
              <w:tabs>
                <w:tab w:val="right" w:pos="2335"/>
              </w:tabs>
              <w:spacing w:line="259" w:lineRule="auto"/>
              <w:rPr>
                <w:rFonts w:cs="Arial"/>
                <w:color w:val="auto"/>
              </w:rPr>
            </w:pPr>
            <w:r w:rsidRPr="00A86663">
              <w:rPr>
                <w:rFonts w:cs="Arial"/>
                <w:color w:val="auto"/>
              </w:rPr>
              <w:t xml:space="preserve">Pupil Premium </w:t>
            </w:r>
            <w:r w:rsidRPr="00A86663">
              <w:rPr>
                <w:rFonts w:cs="Arial"/>
                <w:color w:val="auto"/>
                <w:sz w:val="20"/>
                <w:szCs w:val="20"/>
              </w:rPr>
              <w:t>(19 pupils)</w:t>
            </w:r>
          </w:p>
        </w:tc>
        <w:tc>
          <w:tcPr>
            <w:tcW w:w="1701" w:type="dxa"/>
          </w:tcPr>
          <w:p w14:paraId="58B9C536" w14:textId="77777777" w:rsidR="00B229DB" w:rsidRPr="00A86663" w:rsidRDefault="00B229DB" w:rsidP="0061724A">
            <w:pPr>
              <w:spacing w:line="259" w:lineRule="auto"/>
              <w:jc w:val="center"/>
              <w:rPr>
                <w:rFonts w:cs="Arial"/>
                <w:color w:val="auto"/>
              </w:rPr>
            </w:pPr>
            <w:r w:rsidRPr="00A86663">
              <w:rPr>
                <w:rFonts w:cs="Arial"/>
                <w:color w:val="auto"/>
              </w:rPr>
              <w:t>79%</w:t>
            </w:r>
          </w:p>
        </w:tc>
        <w:tc>
          <w:tcPr>
            <w:tcW w:w="1842" w:type="dxa"/>
          </w:tcPr>
          <w:p w14:paraId="69CF7B09" w14:textId="77777777" w:rsidR="00B229DB" w:rsidRPr="00A86663" w:rsidRDefault="00B229DB" w:rsidP="0061724A">
            <w:pPr>
              <w:spacing w:line="259" w:lineRule="auto"/>
              <w:jc w:val="center"/>
              <w:rPr>
                <w:rFonts w:cs="Arial"/>
                <w:color w:val="auto"/>
              </w:rPr>
            </w:pPr>
            <w:r w:rsidRPr="00A86663">
              <w:rPr>
                <w:rFonts w:cs="Arial"/>
                <w:color w:val="auto"/>
              </w:rPr>
              <w:t>63%</w:t>
            </w:r>
          </w:p>
        </w:tc>
        <w:tc>
          <w:tcPr>
            <w:tcW w:w="1843" w:type="dxa"/>
          </w:tcPr>
          <w:p w14:paraId="57B000FA" w14:textId="77777777" w:rsidR="00B229DB" w:rsidRPr="00A86663" w:rsidRDefault="00B229DB" w:rsidP="0061724A">
            <w:pPr>
              <w:spacing w:line="259" w:lineRule="auto"/>
              <w:jc w:val="center"/>
              <w:rPr>
                <w:rFonts w:cs="Arial"/>
                <w:color w:val="auto"/>
              </w:rPr>
            </w:pPr>
            <w:r w:rsidRPr="00A86663">
              <w:rPr>
                <w:rFonts w:cs="Arial"/>
                <w:color w:val="auto"/>
              </w:rPr>
              <w:t>79%</w:t>
            </w:r>
          </w:p>
        </w:tc>
      </w:tr>
      <w:tr w:rsidR="00A86663" w:rsidRPr="00A86663" w14:paraId="01AAFC7E" w14:textId="77777777" w:rsidTr="0061724A">
        <w:tc>
          <w:tcPr>
            <w:tcW w:w="3544" w:type="dxa"/>
          </w:tcPr>
          <w:p w14:paraId="41122BD0" w14:textId="77777777" w:rsidR="00B229DB" w:rsidRPr="00A86663" w:rsidRDefault="00B229DB" w:rsidP="0061724A">
            <w:pPr>
              <w:spacing w:line="259" w:lineRule="auto"/>
              <w:rPr>
                <w:rFonts w:cs="Arial"/>
                <w:color w:val="auto"/>
              </w:rPr>
            </w:pPr>
            <w:r w:rsidRPr="00A86663">
              <w:rPr>
                <w:rFonts w:cs="Arial"/>
                <w:color w:val="auto"/>
              </w:rPr>
              <w:t>Gap</w:t>
            </w:r>
          </w:p>
        </w:tc>
        <w:tc>
          <w:tcPr>
            <w:tcW w:w="1701" w:type="dxa"/>
          </w:tcPr>
          <w:p w14:paraId="712799AF" w14:textId="77777777" w:rsidR="00B229DB" w:rsidRPr="00A86663" w:rsidRDefault="00B229DB" w:rsidP="0061724A">
            <w:pPr>
              <w:spacing w:line="259" w:lineRule="auto"/>
              <w:jc w:val="center"/>
              <w:rPr>
                <w:rFonts w:cs="Arial"/>
                <w:color w:val="auto"/>
              </w:rPr>
            </w:pPr>
            <w:r w:rsidRPr="00A86663">
              <w:rPr>
                <w:rFonts w:cs="Arial"/>
                <w:color w:val="auto"/>
              </w:rPr>
              <w:t>-2%</w:t>
            </w:r>
          </w:p>
        </w:tc>
        <w:tc>
          <w:tcPr>
            <w:tcW w:w="1842" w:type="dxa"/>
          </w:tcPr>
          <w:p w14:paraId="173FC796" w14:textId="77777777" w:rsidR="00B229DB" w:rsidRPr="00A86663" w:rsidRDefault="00B229DB" w:rsidP="0061724A">
            <w:pPr>
              <w:spacing w:line="259" w:lineRule="auto"/>
              <w:jc w:val="center"/>
              <w:rPr>
                <w:rFonts w:cs="Arial"/>
                <w:color w:val="auto"/>
              </w:rPr>
            </w:pPr>
            <w:r w:rsidRPr="00A86663">
              <w:rPr>
                <w:rFonts w:cs="Arial"/>
                <w:color w:val="auto"/>
              </w:rPr>
              <w:t>-11%</w:t>
            </w:r>
          </w:p>
        </w:tc>
        <w:tc>
          <w:tcPr>
            <w:tcW w:w="1843" w:type="dxa"/>
          </w:tcPr>
          <w:p w14:paraId="04D88675" w14:textId="77777777" w:rsidR="00B229DB" w:rsidRPr="00A86663" w:rsidRDefault="00B229DB" w:rsidP="0061724A">
            <w:pPr>
              <w:spacing w:line="259" w:lineRule="auto"/>
              <w:jc w:val="center"/>
              <w:rPr>
                <w:rFonts w:cs="Arial"/>
                <w:color w:val="auto"/>
              </w:rPr>
            </w:pPr>
            <w:r w:rsidRPr="00A86663">
              <w:rPr>
                <w:rFonts w:cs="Arial"/>
                <w:color w:val="auto"/>
              </w:rPr>
              <w:t>-6%</w:t>
            </w:r>
          </w:p>
        </w:tc>
      </w:tr>
    </w:tbl>
    <w:p w14:paraId="1BD841A9" w14:textId="14729EAB" w:rsidR="003B5F67" w:rsidRPr="00A86663" w:rsidRDefault="00B229DB" w:rsidP="00B229DB">
      <w:pPr>
        <w:spacing w:line="259" w:lineRule="auto"/>
        <w:rPr>
          <w:rFonts w:cs="Arial"/>
          <w:color w:val="auto"/>
        </w:rPr>
      </w:pPr>
      <w:r w:rsidRPr="00A86663">
        <w:rPr>
          <w:rFonts w:cs="Arial"/>
          <w:color w:val="auto"/>
        </w:rPr>
        <w:t xml:space="preserve">Pupil Premium Pupils made good progress in all subjects.  The gap was diminished in Reading and Maths but not in writing.  </w:t>
      </w:r>
    </w:p>
    <w:bookmarkEnd w:id="19"/>
    <w:p w14:paraId="0C3DB63B" w14:textId="36849A13" w:rsidR="006F41F8" w:rsidRPr="00A86663" w:rsidRDefault="006F41F8" w:rsidP="00B229DB">
      <w:pPr>
        <w:spacing w:line="259" w:lineRule="auto"/>
        <w:rPr>
          <w:rFonts w:cs="Arial"/>
          <w:color w:val="auto"/>
        </w:rPr>
      </w:pPr>
    </w:p>
    <w:p w14:paraId="18179DED" w14:textId="5D124A76" w:rsidR="006F41F8" w:rsidRPr="00A86663" w:rsidRDefault="006F41F8" w:rsidP="00B229DB">
      <w:pPr>
        <w:spacing w:line="259" w:lineRule="auto"/>
        <w:rPr>
          <w:rFonts w:cs="Arial"/>
          <w:b/>
          <w:bCs/>
          <w:color w:val="auto"/>
        </w:rPr>
      </w:pPr>
    </w:p>
    <w:p w14:paraId="21BF8801" w14:textId="4BD160DC" w:rsidR="006F41F8" w:rsidRPr="00A86663" w:rsidRDefault="006F41F8" w:rsidP="00B229DB">
      <w:pPr>
        <w:spacing w:line="259" w:lineRule="auto"/>
        <w:rPr>
          <w:rFonts w:cs="Arial"/>
          <w:color w:val="auto"/>
        </w:rPr>
      </w:pPr>
    </w:p>
    <w:p w14:paraId="3E24DAFE" w14:textId="77777777" w:rsidR="006F41F8" w:rsidRPr="00A86663" w:rsidRDefault="006F41F8" w:rsidP="006F41F8">
      <w:pPr>
        <w:pStyle w:val="ListParagraph"/>
        <w:numPr>
          <w:ilvl w:val="0"/>
          <w:numId w:val="0"/>
        </w:numPr>
        <w:spacing w:line="259" w:lineRule="auto"/>
        <w:ind w:left="720"/>
        <w:rPr>
          <w:rFonts w:cs="Arial"/>
          <w:color w:val="auto"/>
        </w:rPr>
      </w:pPr>
      <w:bookmarkStart w:id="20" w:name="_Hlk115863220"/>
    </w:p>
    <w:tbl>
      <w:tblPr>
        <w:tblStyle w:val="TableGrid"/>
        <w:tblW w:w="0" w:type="auto"/>
        <w:tblInd w:w="421" w:type="dxa"/>
        <w:tblLook w:val="04A0" w:firstRow="1" w:lastRow="0" w:firstColumn="1" w:lastColumn="0" w:noHBand="0" w:noVBand="1"/>
      </w:tblPr>
      <w:tblGrid>
        <w:gridCol w:w="2835"/>
        <w:gridCol w:w="2976"/>
        <w:gridCol w:w="2977"/>
      </w:tblGrid>
      <w:tr w:rsidR="00A86663" w:rsidRPr="00A86663" w14:paraId="2CFD6D4D" w14:textId="77777777" w:rsidTr="00436965">
        <w:tc>
          <w:tcPr>
            <w:tcW w:w="8788" w:type="dxa"/>
            <w:gridSpan w:val="3"/>
          </w:tcPr>
          <w:p w14:paraId="52D5C633" w14:textId="77777777" w:rsidR="006F41F8" w:rsidRPr="00A86663" w:rsidRDefault="006F41F8" w:rsidP="0061724A">
            <w:pPr>
              <w:spacing w:line="259" w:lineRule="auto"/>
              <w:jc w:val="center"/>
              <w:rPr>
                <w:rFonts w:cs="Arial"/>
                <w:b/>
                <w:bCs/>
                <w:color w:val="auto"/>
                <w:sz w:val="28"/>
                <w:szCs w:val="28"/>
              </w:rPr>
            </w:pPr>
            <w:r w:rsidRPr="00A86663">
              <w:rPr>
                <w:rFonts w:cs="Arial"/>
                <w:b/>
                <w:bCs/>
                <w:color w:val="auto"/>
                <w:sz w:val="28"/>
                <w:szCs w:val="28"/>
              </w:rPr>
              <w:t xml:space="preserve">Pupil Premium Pupils working at the Expected standard in Year 1 </w:t>
            </w:r>
          </w:p>
          <w:p w14:paraId="5612DEE2" w14:textId="7367091E" w:rsidR="006F41F8" w:rsidRPr="00A86663" w:rsidRDefault="006F41F8" w:rsidP="0061724A">
            <w:pPr>
              <w:spacing w:line="259" w:lineRule="auto"/>
              <w:jc w:val="center"/>
              <w:rPr>
                <w:rFonts w:cs="Arial"/>
                <w:color w:val="auto"/>
                <w:sz w:val="28"/>
                <w:szCs w:val="28"/>
              </w:rPr>
            </w:pPr>
            <w:r w:rsidRPr="00A86663">
              <w:rPr>
                <w:rFonts w:cs="Arial"/>
                <w:b/>
                <w:bCs/>
                <w:color w:val="auto"/>
                <w:sz w:val="28"/>
                <w:szCs w:val="28"/>
              </w:rPr>
              <w:t>July 2022</w:t>
            </w:r>
          </w:p>
        </w:tc>
      </w:tr>
      <w:bookmarkEnd w:id="20"/>
      <w:tr w:rsidR="00A86663" w:rsidRPr="00A86663" w14:paraId="73B16330" w14:textId="77777777" w:rsidTr="0061724A">
        <w:tc>
          <w:tcPr>
            <w:tcW w:w="2835" w:type="dxa"/>
          </w:tcPr>
          <w:p w14:paraId="26F21752" w14:textId="77777777" w:rsidR="006F41F8" w:rsidRPr="00A86663" w:rsidRDefault="006F41F8" w:rsidP="0061724A">
            <w:pPr>
              <w:spacing w:line="259" w:lineRule="auto"/>
              <w:rPr>
                <w:rFonts w:cs="Arial"/>
                <w:b/>
                <w:bCs/>
                <w:color w:val="auto"/>
              </w:rPr>
            </w:pPr>
            <w:r w:rsidRPr="00A86663">
              <w:rPr>
                <w:rFonts w:cs="Arial"/>
                <w:b/>
                <w:bCs/>
                <w:color w:val="auto"/>
              </w:rPr>
              <w:t>Pupil Premium Pupils</w:t>
            </w:r>
          </w:p>
        </w:tc>
        <w:tc>
          <w:tcPr>
            <w:tcW w:w="2976" w:type="dxa"/>
          </w:tcPr>
          <w:p w14:paraId="30755E7C" w14:textId="77777777" w:rsidR="006F41F8" w:rsidRPr="00A86663" w:rsidRDefault="006F41F8" w:rsidP="0061724A">
            <w:pPr>
              <w:spacing w:line="259" w:lineRule="auto"/>
              <w:jc w:val="center"/>
              <w:rPr>
                <w:rFonts w:cs="Arial"/>
                <w:color w:val="auto"/>
              </w:rPr>
            </w:pPr>
            <w:r w:rsidRPr="00A86663">
              <w:rPr>
                <w:rFonts w:cs="Arial"/>
                <w:color w:val="auto"/>
              </w:rPr>
              <w:t>September 2021</w:t>
            </w:r>
          </w:p>
        </w:tc>
        <w:tc>
          <w:tcPr>
            <w:tcW w:w="2977" w:type="dxa"/>
          </w:tcPr>
          <w:p w14:paraId="21B68FA5" w14:textId="77777777" w:rsidR="006F41F8" w:rsidRPr="00A86663" w:rsidRDefault="006F41F8" w:rsidP="0061724A">
            <w:pPr>
              <w:spacing w:line="259" w:lineRule="auto"/>
              <w:jc w:val="center"/>
              <w:rPr>
                <w:rFonts w:cs="Arial"/>
                <w:color w:val="auto"/>
              </w:rPr>
            </w:pPr>
            <w:r w:rsidRPr="00A86663">
              <w:rPr>
                <w:rFonts w:cs="Arial"/>
                <w:color w:val="auto"/>
              </w:rPr>
              <w:t>July 2022</w:t>
            </w:r>
          </w:p>
        </w:tc>
      </w:tr>
      <w:tr w:rsidR="00A86663" w:rsidRPr="00A86663" w14:paraId="20577D78" w14:textId="77777777" w:rsidTr="0061724A">
        <w:tc>
          <w:tcPr>
            <w:tcW w:w="2835" w:type="dxa"/>
          </w:tcPr>
          <w:p w14:paraId="773715C1" w14:textId="77777777" w:rsidR="006F41F8" w:rsidRPr="00A86663" w:rsidRDefault="006F41F8" w:rsidP="0061724A">
            <w:pPr>
              <w:spacing w:line="259" w:lineRule="auto"/>
              <w:rPr>
                <w:rFonts w:cs="Arial"/>
                <w:color w:val="auto"/>
              </w:rPr>
            </w:pPr>
            <w:r w:rsidRPr="00A86663">
              <w:rPr>
                <w:rFonts w:cs="Arial"/>
                <w:color w:val="auto"/>
              </w:rPr>
              <w:t>Reading</w:t>
            </w:r>
          </w:p>
        </w:tc>
        <w:tc>
          <w:tcPr>
            <w:tcW w:w="2976" w:type="dxa"/>
          </w:tcPr>
          <w:p w14:paraId="174A8DEB" w14:textId="77777777" w:rsidR="006F41F8" w:rsidRPr="00A86663" w:rsidRDefault="006F41F8" w:rsidP="0061724A">
            <w:pPr>
              <w:spacing w:line="259" w:lineRule="auto"/>
              <w:jc w:val="center"/>
              <w:rPr>
                <w:rFonts w:cs="Arial"/>
                <w:color w:val="auto"/>
              </w:rPr>
            </w:pPr>
            <w:r w:rsidRPr="00A86663">
              <w:rPr>
                <w:rFonts w:cs="Arial"/>
                <w:color w:val="auto"/>
              </w:rPr>
              <w:t>40%</w:t>
            </w:r>
          </w:p>
        </w:tc>
        <w:tc>
          <w:tcPr>
            <w:tcW w:w="2977" w:type="dxa"/>
          </w:tcPr>
          <w:p w14:paraId="22332D24" w14:textId="77777777" w:rsidR="006F41F8" w:rsidRPr="00A86663" w:rsidRDefault="006F41F8" w:rsidP="0061724A">
            <w:pPr>
              <w:spacing w:line="259" w:lineRule="auto"/>
              <w:jc w:val="center"/>
              <w:rPr>
                <w:rFonts w:cs="Arial"/>
                <w:color w:val="auto"/>
              </w:rPr>
            </w:pPr>
            <w:r w:rsidRPr="00A86663">
              <w:rPr>
                <w:rFonts w:cs="Arial"/>
                <w:color w:val="auto"/>
              </w:rPr>
              <w:t>65%</w:t>
            </w:r>
          </w:p>
        </w:tc>
      </w:tr>
      <w:tr w:rsidR="00A86663" w:rsidRPr="00A86663" w14:paraId="1D0DE94D" w14:textId="77777777" w:rsidTr="0061724A">
        <w:tc>
          <w:tcPr>
            <w:tcW w:w="2835" w:type="dxa"/>
          </w:tcPr>
          <w:p w14:paraId="577531B2" w14:textId="77777777" w:rsidR="006F41F8" w:rsidRPr="00A86663" w:rsidRDefault="006F41F8" w:rsidP="0061724A">
            <w:pPr>
              <w:spacing w:line="259" w:lineRule="auto"/>
              <w:rPr>
                <w:rFonts w:cs="Arial"/>
                <w:color w:val="auto"/>
              </w:rPr>
            </w:pPr>
            <w:r w:rsidRPr="00A86663">
              <w:rPr>
                <w:rFonts w:cs="Arial"/>
                <w:color w:val="auto"/>
              </w:rPr>
              <w:t>Writing</w:t>
            </w:r>
          </w:p>
        </w:tc>
        <w:tc>
          <w:tcPr>
            <w:tcW w:w="2976" w:type="dxa"/>
          </w:tcPr>
          <w:p w14:paraId="46004FFB" w14:textId="77777777" w:rsidR="006F41F8" w:rsidRPr="00A86663" w:rsidRDefault="006F41F8" w:rsidP="0061724A">
            <w:pPr>
              <w:spacing w:line="259" w:lineRule="auto"/>
              <w:jc w:val="center"/>
              <w:rPr>
                <w:rFonts w:cs="Arial"/>
                <w:color w:val="auto"/>
              </w:rPr>
            </w:pPr>
            <w:r w:rsidRPr="00A86663">
              <w:rPr>
                <w:rFonts w:cs="Arial"/>
                <w:color w:val="auto"/>
              </w:rPr>
              <w:t>40%</w:t>
            </w:r>
          </w:p>
        </w:tc>
        <w:tc>
          <w:tcPr>
            <w:tcW w:w="2977" w:type="dxa"/>
          </w:tcPr>
          <w:p w14:paraId="1509339E" w14:textId="77777777" w:rsidR="006F41F8" w:rsidRPr="00A86663" w:rsidRDefault="006F41F8" w:rsidP="0061724A">
            <w:pPr>
              <w:spacing w:line="259" w:lineRule="auto"/>
              <w:jc w:val="center"/>
              <w:rPr>
                <w:rFonts w:cs="Arial"/>
                <w:color w:val="auto"/>
              </w:rPr>
            </w:pPr>
            <w:r w:rsidRPr="00A86663">
              <w:rPr>
                <w:rFonts w:cs="Arial"/>
                <w:color w:val="auto"/>
              </w:rPr>
              <w:t>54%</w:t>
            </w:r>
          </w:p>
        </w:tc>
      </w:tr>
      <w:tr w:rsidR="00A86663" w:rsidRPr="00A86663" w14:paraId="5AE9B8A8" w14:textId="77777777" w:rsidTr="0061724A">
        <w:tc>
          <w:tcPr>
            <w:tcW w:w="2835" w:type="dxa"/>
          </w:tcPr>
          <w:p w14:paraId="39BBEB97" w14:textId="77777777" w:rsidR="006F41F8" w:rsidRPr="00A86663" w:rsidRDefault="006F41F8" w:rsidP="0061724A">
            <w:pPr>
              <w:spacing w:line="259" w:lineRule="auto"/>
              <w:rPr>
                <w:rFonts w:cs="Arial"/>
                <w:color w:val="auto"/>
              </w:rPr>
            </w:pPr>
            <w:r w:rsidRPr="00A86663">
              <w:rPr>
                <w:rFonts w:cs="Arial"/>
                <w:color w:val="auto"/>
              </w:rPr>
              <w:t>Maths</w:t>
            </w:r>
          </w:p>
        </w:tc>
        <w:tc>
          <w:tcPr>
            <w:tcW w:w="2976" w:type="dxa"/>
          </w:tcPr>
          <w:p w14:paraId="7949D7AB" w14:textId="77777777" w:rsidR="006F41F8" w:rsidRPr="00A86663" w:rsidRDefault="006F41F8" w:rsidP="0061724A">
            <w:pPr>
              <w:spacing w:line="259" w:lineRule="auto"/>
              <w:jc w:val="center"/>
              <w:rPr>
                <w:rFonts w:cs="Arial"/>
                <w:color w:val="auto"/>
              </w:rPr>
            </w:pPr>
            <w:r w:rsidRPr="00A86663">
              <w:rPr>
                <w:rFonts w:cs="Arial"/>
                <w:color w:val="auto"/>
              </w:rPr>
              <w:t>45%</w:t>
            </w:r>
          </w:p>
        </w:tc>
        <w:tc>
          <w:tcPr>
            <w:tcW w:w="2977" w:type="dxa"/>
          </w:tcPr>
          <w:p w14:paraId="20E3B6D4" w14:textId="77777777" w:rsidR="006F41F8" w:rsidRPr="00A86663" w:rsidRDefault="006F41F8" w:rsidP="0061724A">
            <w:pPr>
              <w:spacing w:line="259" w:lineRule="auto"/>
              <w:jc w:val="center"/>
              <w:rPr>
                <w:rFonts w:cs="Arial"/>
                <w:color w:val="auto"/>
              </w:rPr>
            </w:pPr>
            <w:r w:rsidRPr="00A86663">
              <w:rPr>
                <w:rFonts w:cs="Arial"/>
                <w:color w:val="auto"/>
              </w:rPr>
              <w:t>65%</w:t>
            </w:r>
          </w:p>
        </w:tc>
      </w:tr>
    </w:tbl>
    <w:p w14:paraId="120D8227" w14:textId="77777777" w:rsidR="006F41F8" w:rsidRPr="00A86663" w:rsidRDefault="006F41F8" w:rsidP="006F41F8">
      <w:pPr>
        <w:pStyle w:val="ListParagraph"/>
        <w:numPr>
          <w:ilvl w:val="0"/>
          <w:numId w:val="18"/>
        </w:numPr>
        <w:suppressAutoHyphens w:val="0"/>
        <w:autoSpaceDN/>
        <w:spacing w:after="0" w:line="259" w:lineRule="auto"/>
        <w:contextualSpacing w:val="0"/>
        <w:rPr>
          <w:rFonts w:cs="Arial"/>
          <w:color w:val="auto"/>
        </w:rPr>
      </w:pPr>
      <w:r w:rsidRPr="00A86663">
        <w:rPr>
          <w:rFonts w:cs="Arial"/>
          <w:color w:val="auto"/>
        </w:rPr>
        <w:t>Pupil Premium Pupils have accessed additional interventions and made good progress from low starting points</w:t>
      </w:r>
    </w:p>
    <w:p w14:paraId="6794E162" w14:textId="1F5A41C9" w:rsidR="005F692B" w:rsidRDefault="006F41F8" w:rsidP="006F41F8">
      <w:pPr>
        <w:pStyle w:val="ListParagraph"/>
        <w:numPr>
          <w:ilvl w:val="0"/>
          <w:numId w:val="18"/>
        </w:numPr>
        <w:suppressAutoHyphens w:val="0"/>
        <w:autoSpaceDN/>
        <w:spacing w:after="0" w:line="259" w:lineRule="auto"/>
        <w:contextualSpacing w:val="0"/>
        <w:rPr>
          <w:rFonts w:cs="Arial"/>
          <w:color w:val="auto"/>
        </w:rPr>
      </w:pPr>
      <w:r w:rsidRPr="00A86663">
        <w:rPr>
          <w:rFonts w:cs="Arial"/>
          <w:color w:val="auto"/>
        </w:rPr>
        <w:t>In reading Pupil Premium Pupils attainment was higher than Non-Pupils Premium pupils.  The gap between Pupil Premium and Non-Pupil Premium pupils has diminished in writing and maths.</w:t>
      </w:r>
    </w:p>
    <w:p w14:paraId="649A8DFD" w14:textId="77777777" w:rsidR="00A86663" w:rsidRPr="00A86663" w:rsidRDefault="00A86663" w:rsidP="00A86663">
      <w:pPr>
        <w:pStyle w:val="ListParagraph"/>
        <w:numPr>
          <w:ilvl w:val="0"/>
          <w:numId w:val="0"/>
        </w:numPr>
        <w:suppressAutoHyphens w:val="0"/>
        <w:autoSpaceDN/>
        <w:spacing w:after="0" w:line="259" w:lineRule="auto"/>
        <w:ind w:left="720"/>
        <w:contextualSpacing w:val="0"/>
        <w:rPr>
          <w:rFonts w:cs="Arial"/>
          <w:color w:val="auto"/>
        </w:rPr>
      </w:pPr>
    </w:p>
    <w:p w14:paraId="2B46C7BE" w14:textId="2EAE1629" w:rsidR="006F41F8" w:rsidRPr="00A86663" w:rsidRDefault="006F41F8" w:rsidP="005F692B">
      <w:pPr>
        <w:pStyle w:val="ListParagraph"/>
        <w:numPr>
          <w:ilvl w:val="0"/>
          <w:numId w:val="0"/>
        </w:numPr>
        <w:suppressAutoHyphens w:val="0"/>
        <w:autoSpaceDN/>
        <w:spacing w:after="0" w:line="259" w:lineRule="auto"/>
        <w:ind w:left="720"/>
        <w:contextualSpacing w:val="0"/>
        <w:rPr>
          <w:rFonts w:cs="Arial"/>
          <w:color w:val="auto"/>
        </w:rPr>
      </w:pPr>
      <w:r w:rsidRPr="00A86663">
        <w:rPr>
          <w:rFonts w:cs="Arial"/>
          <w:color w:val="auto"/>
        </w:rPr>
        <w:t xml:space="preserve">  </w:t>
      </w:r>
    </w:p>
    <w:tbl>
      <w:tblPr>
        <w:tblStyle w:val="TableGrid"/>
        <w:tblpPr w:leftFromText="180" w:rightFromText="180" w:vertAnchor="text" w:horzAnchor="margin" w:tblpY="856"/>
        <w:tblW w:w="10201" w:type="dxa"/>
        <w:tblLook w:val="04A0" w:firstRow="1" w:lastRow="0" w:firstColumn="1" w:lastColumn="0" w:noHBand="0" w:noVBand="1"/>
      </w:tblPr>
      <w:tblGrid>
        <w:gridCol w:w="1129"/>
        <w:gridCol w:w="1701"/>
        <w:gridCol w:w="1701"/>
        <w:gridCol w:w="1701"/>
        <w:gridCol w:w="1418"/>
        <w:gridCol w:w="1559"/>
        <w:gridCol w:w="992"/>
      </w:tblGrid>
      <w:tr w:rsidR="00A86663" w:rsidRPr="00A86663" w14:paraId="4B17CFD4" w14:textId="77777777" w:rsidTr="00514AA9">
        <w:trPr>
          <w:trHeight w:val="416"/>
        </w:trPr>
        <w:tc>
          <w:tcPr>
            <w:tcW w:w="10201" w:type="dxa"/>
            <w:gridSpan w:val="7"/>
          </w:tcPr>
          <w:p w14:paraId="4A201022" w14:textId="570DF723" w:rsidR="00514AA9" w:rsidRPr="00A86663" w:rsidRDefault="00514AA9" w:rsidP="00514AA9">
            <w:pPr>
              <w:jc w:val="center"/>
              <w:rPr>
                <w:rFonts w:cs="Arial"/>
                <w:color w:val="auto"/>
              </w:rPr>
            </w:pPr>
            <w:r w:rsidRPr="00A86663">
              <w:rPr>
                <w:rFonts w:cs="Arial"/>
                <w:b/>
                <w:color w:val="auto"/>
                <w:sz w:val="28"/>
                <w:szCs w:val="28"/>
              </w:rPr>
              <w:t>Year 2 results July 202</w:t>
            </w:r>
            <w:r w:rsidR="00DC76CC" w:rsidRPr="00A86663">
              <w:rPr>
                <w:rFonts w:cs="Arial"/>
                <w:b/>
                <w:color w:val="auto"/>
                <w:sz w:val="28"/>
                <w:szCs w:val="28"/>
              </w:rPr>
              <w:t>3</w:t>
            </w:r>
          </w:p>
        </w:tc>
      </w:tr>
      <w:tr w:rsidR="00A86663" w:rsidRPr="00A86663" w14:paraId="10241E41" w14:textId="77777777" w:rsidTr="00514AA9">
        <w:trPr>
          <w:trHeight w:val="1113"/>
        </w:trPr>
        <w:tc>
          <w:tcPr>
            <w:tcW w:w="1129" w:type="dxa"/>
          </w:tcPr>
          <w:p w14:paraId="3244C0CF" w14:textId="77777777" w:rsidR="00514AA9" w:rsidRPr="00A86663" w:rsidRDefault="00514AA9" w:rsidP="00514AA9">
            <w:pPr>
              <w:rPr>
                <w:rFonts w:cs="Arial"/>
                <w:color w:val="auto"/>
              </w:rPr>
            </w:pPr>
            <w:r w:rsidRPr="00A86663">
              <w:rPr>
                <w:rFonts w:cs="Arial"/>
                <w:color w:val="auto"/>
              </w:rPr>
              <w:t>2023</w:t>
            </w:r>
          </w:p>
        </w:tc>
        <w:tc>
          <w:tcPr>
            <w:tcW w:w="1701" w:type="dxa"/>
          </w:tcPr>
          <w:p w14:paraId="12A59886" w14:textId="77777777" w:rsidR="00514AA9" w:rsidRPr="00A86663" w:rsidRDefault="00514AA9" w:rsidP="00514AA9">
            <w:pPr>
              <w:rPr>
                <w:rFonts w:cs="Arial"/>
                <w:color w:val="auto"/>
              </w:rPr>
            </w:pPr>
            <w:r w:rsidRPr="00A86663">
              <w:rPr>
                <w:rFonts w:cs="Arial"/>
                <w:color w:val="auto"/>
              </w:rPr>
              <w:t xml:space="preserve">Reading </w:t>
            </w:r>
          </w:p>
          <w:p w14:paraId="75D8FF8E" w14:textId="77777777" w:rsidR="00514AA9" w:rsidRPr="00A86663" w:rsidRDefault="00514AA9" w:rsidP="00514AA9">
            <w:pPr>
              <w:rPr>
                <w:rFonts w:cs="Arial"/>
                <w:color w:val="auto"/>
              </w:rPr>
            </w:pPr>
            <w:r w:rsidRPr="00A86663">
              <w:rPr>
                <w:rFonts w:cs="Arial"/>
                <w:color w:val="auto"/>
              </w:rPr>
              <w:t>EXS +</w:t>
            </w:r>
          </w:p>
        </w:tc>
        <w:tc>
          <w:tcPr>
            <w:tcW w:w="1701" w:type="dxa"/>
          </w:tcPr>
          <w:p w14:paraId="20D0D13D" w14:textId="77777777" w:rsidR="00514AA9" w:rsidRPr="00A86663" w:rsidRDefault="00514AA9" w:rsidP="00514AA9">
            <w:pPr>
              <w:rPr>
                <w:rFonts w:cs="Arial"/>
                <w:color w:val="auto"/>
              </w:rPr>
            </w:pPr>
            <w:r w:rsidRPr="00A86663">
              <w:rPr>
                <w:rFonts w:cs="Arial"/>
                <w:color w:val="auto"/>
              </w:rPr>
              <w:t>Writing EXS+</w:t>
            </w:r>
          </w:p>
        </w:tc>
        <w:tc>
          <w:tcPr>
            <w:tcW w:w="1701" w:type="dxa"/>
          </w:tcPr>
          <w:p w14:paraId="05F7E54F" w14:textId="77777777" w:rsidR="00514AA9" w:rsidRPr="00A86663" w:rsidRDefault="00514AA9" w:rsidP="00514AA9">
            <w:pPr>
              <w:rPr>
                <w:rFonts w:cs="Arial"/>
                <w:color w:val="auto"/>
              </w:rPr>
            </w:pPr>
            <w:r w:rsidRPr="00A86663">
              <w:rPr>
                <w:rFonts w:cs="Arial"/>
                <w:color w:val="auto"/>
              </w:rPr>
              <w:t xml:space="preserve">Maths </w:t>
            </w:r>
          </w:p>
          <w:p w14:paraId="1224BA81" w14:textId="77777777" w:rsidR="00514AA9" w:rsidRPr="00A86663" w:rsidRDefault="00514AA9" w:rsidP="00514AA9">
            <w:pPr>
              <w:rPr>
                <w:rFonts w:cs="Arial"/>
                <w:color w:val="auto"/>
              </w:rPr>
            </w:pPr>
            <w:r w:rsidRPr="00A86663">
              <w:rPr>
                <w:rFonts w:cs="Arial"/>
                <w:color w:val="auto"/>
              </w:rPr>
              <w:t>EXS+</w:t>
            </w:r>
          </w:p>
        </w:tc>
        <w:tc>
          <w:tcPr>
            <w:tcW w:w="1418" w:type="dxa"/>
          </w:tcPr>
          <w:p w14:paraId="2613A02F" w14:textId="77777777" w:rsidR="00514AA9" w:rsidRPr="00A86663" w:rsidRDefault="00514AA9" w:rsidP="00514AA9">
            <w:pPr>
              <w:rPr>
                <w:rFonts w:cs="Arial"/>
                <w:color w:val="auto"/>
              </w:rPr>
            </w:pPr>
            <w:r w:rsidRPr="00A86663">
              <w:rPr>
                <w:rFonts w:cs="Arial"/>
                <w:color w:val="auto"/>
              </w:rPr>
              <w:t>Reading GD</w:t>
            </w:r>
          </w:p>
        </w:tc>
        <w:tc>
          <w:tcPr>
            <w:tcW w:w="1559" w:type="dxa"/>
          </w:tcPr>
          <w:p w14:paraId="59F50330" w14:textId="77777777" w:rsidR="00514AA9" w:rsidRPr="00A86663" w:rsidRDefault="00514AA9" w:rsidP="00514AA9">
            <w:pPr>
              <w:rPr>
                <w:rFonts w:cs="Arial"/>
                <w:color w:val="auto"/>
              </w:rPr>
            </w:pPr>
            <w:r w:rsidRPr="00A86663">
              <w:rPr>
                <w:rFonts w:cs="Arial"/>
                <w:color w:val="auto"/>
              </w:rPr>
              <w:t xml:space="preserve">Writing </w:t>
            </w:r>
          </w:p>
          <w:p w14:paraId="278839A8" w14:textId="77777777" w:rsidR="00514AA9" w:rsidRPr="00A86663" w:rsidRDefault="00514AA9" w:rsidP="00514AA9">
            <w:pPr>
              <w:rPr>
                <w:rFonts w:cs="Arial"/>
                <w:color w:val="auto"/>
              </w:rPr>
            </w:pPr>
            <w:r w:rsidRPr="00A86663">
              <w:rPr>
                <w:rFonts w:cs="Arial"/>
                <w:color w:val="auto"/>
              </w:rPr>
              <w:t>GD</w:t>
            </w:r>
          </w:p>
        </w:tc>
        <w:tc>
          <w:tcPr>
            <w:tcW w:w="992" w:type="dxa"/>
          </w:tcPr>
          <w:p w14:paraId="3018A71E" w14:textId="77777777" w:rsidR="00514AA9" w:rsidRPr="00A86663" w:rsidRDefault="00514AA9" w:rsidP="00514AA9">
            <w:pPr>
              <w:rPr>
                <w:rFonts w:cs="Arial"/>
                <w:color w:val="auto"/>
              </w:rPr>
            </w:pPr>
            <w:r w:rsidRPr="00A86663">
              <w:rPr>
                <w:rFonts w:cs="Arial"/>
                <w:color w:val="auto"/>
              </w:rPr>
              <w:t xml:space="preserve">Maths </w:t>
            </w:r>
          </w:p>
          <w:p w14:paraId="3CCFEF82" w14:textId="77777777" w:rsidR="00514AA9" w:rsidRPr="00A86663" w:rsidRDefault="00514AA9" w:rsidP="00514AA9">
            <w:pPr>
              <w:rPr>
                <w:rFonts w:cs="Arial"/>
                <w:color w:val="auto"/>
              </w:rPr>
            </w:pPr>
            <w:r w:rsidRPr="00A86663">
              <w:rPr>
                <w:rFonts w:cs="Arial"/>
                <w:color w:val="auto"/>
              </w:rPr>
              <w:t>GD</w:t>
            </w:r>
          </w:p>
        </w:tc>
      </w:tr>
      <w:tr w:rsidR="00A86663" w:rsidRPr="00A86663" w14:paraId="2F45C193" w14:textId="77777777" w:rsidTr="00514AA9">
        <w:trPr>
          <w:trHeight w:val="751"/>
        </w:trPr>
        <w:tc>
          <w:tcPr>
            <w:tcW w:w="1129" w:type="dxa"/>
          </w:tcPr>
          <w:p w14:paraId="54A956CA" w14:textId="77777777" w:rsidR="00514AA9" w:rsidRPr="00A86663" w:rsidRDefault="00514AA9" w:rsidP="00514AA9">
            <w:pPr>
              <w:rPr>
                <w:rFonts w:cs="Arial"/>
                <w:color w:val="auto"/>
              </w:rPr>
            </w:pPr>
            <w:r w:rsidRPr="00A86663">
              <w:rPr>
                <w:rFonts w:cs="Arial"/>
                <w:color w:val="auto"/>
              </w:rPr>
              <w:t>School</w:t>
            </w:r>
          </w:p>
        </w:tc>
        <w:tc>
          <w:tcPr>
            <w:tcW w:w="1701" w:type="dxa"/>
          </w:tcPr>
          <w:p w14:paraId="7F735F8B" w14:textId="77777777" w:rsidR="00514AA9" w:rsidRPr="00A86663" w:rsidRDefault="00514AA9" w:rsidP="00514AA9">
            <w:pPr>
              <w:rPr>
                <w:rFonts w:cs="Arial"/>
                <w:color w:val="auto"/>
                <w:sz w:val="22"/>
                <w:szCs w:val="22"/>
              </w:rPr>
            </w:pPr>
            <w:r w:rsidRPr="00A86663">
              <w:rPr>
                <w:rFonts w:cs="Arial"/>
                <w:color w:val="auto"/>
                <w:sz w:val="22"/>
                <w:szCs w:val="22"/>
              </w:rPr>
              <w:t>75%</w:t>
            </w:r>
          </w:p>
          <w:p w14:paraId="08254160" w14:textId="4FE702C0" w:rsidR="00514AA9" w:rsidRPr="00A86663" w:rsidRDefault="00514AA9" w:rsidP="00514AA9">
            <w:pPr>
              <w:rPr>
                <w:rFonts w:cs="Arial"/>
                <w:color w:val="auto"/>
                <w:sz w:val="22"/>
                <w:szCs w:val="22"/>
              </w:rPr>
            </w:pPr>
          </w:p>
        </w:tc>
        <w:tc>
          <w:tcPr>
            <w:tcW w:w="1701" w:type="dxa"/>
          </w:tcPr>
          <w:p w14:paraId="1849A651" w14:textId="77777777" w:rsidR="00514AA9" w:rsidRPr="00A86663" w:rsidRDefault="00514AA9" w:rsidP="00514AA9">
            <w:pPr>
              <w:rPr>
                <w:rFonts w:cs="Arial"/>
                <w:color w:val="auto"/>
                <w:sz w:val="22"/>
                <w:szCs w:val="22"/>
              </w:rPr>
            </w:pPr>
            <w:r w:rsidRPr="00A86663">
              <w:rPr>
                <w:rFonts w:cs="Arial"/>
                <w:color w:val="auto"/>
                <w:sz w:val="22"/>
                <w:szCs w:val="22"/>
              </w:rPr>
              <w:t>69%</w:t>
            </w:r>
          </w:p>
          <w:p w14:paraId="5C7E2BDE" w14:textId="2B9A0CBA" w:rsidR="00514AA9" w:rsidRPr="00A86663" w:rsidRDefault="00514AA9" w:rsidP="00514AA9">
            <w:pPr>
              <w:rPr>
                <w:rFonts w:cs="Arial"/>
                <w:color w:val="auto"/>
                <w:sz w:val="22"/>
                <w:szCs w:val="22"/>
              </w:rPr>
            </w:pPr>
          </w:p>
        </w:tc>
        <w:tc>
          <w:tcPr>
            <w:tcW w:w="1701" w:type="dxa"/>
          </w:tcPr>
          <w:p w14:paraId="310B8914" w14:textId="40532A5A" w:rsidR="00514AA9" w:rsidRPr="00A86663" w:rsidRDefault="00514AA9" w:rsidP="00514AA9">
            <w:pPr>
              <w:rPr>
                <w:rFonts w:cs="Arial"/>
                <w:color w:val="auto"/>
                <w:sz w:val="22"/>
                <w:szCs w:val="22"/>
              </w:rPr>
            </w:pPr>
            <w:r w:rsidRPr="00A86663">
              <w:rPr>
                <w:rFonts w:cs="Arial"/>
                <w:color w:val="auto"/>
                <w:sz w:val="22"/>
                <w:szCs w:val="22"/>
              </w:rPr>
              <w:t>80%</w:t>
            </w:r>
          </w:p>
        </w:tc>
        <w:tc>
          <w:tcPr>
            <w:tcW w:w="1418" w:type="dxa"/>
          </w:tcPr>
          <w:p w14:paraId="22968F1F" w14:textId="18FE3A5E" w:rsidR="00514AA9" w:rsidRPr="00A86663" w:rsidRDefault="00514AA9" w:rsidP="00514AA9">
            <w:pPr>
              <w:rPr>
                <w:rFonts w:cs="Arial"/>
                <w:color w:val="auto"/>
                <w:sz w:val="22"/>
                <w:szCs w:val="22"/>
              </w:rPr>
            </w:pPr>
            <w:r w:rsidRPr="00A86663">
              <w:rPr>
                <w:rFonts w:cs="Arial"/>
                <w:color w:val="auto"/>
                <w:sz w:val="22"/>
                <w:szCs w:val="22"/>
              </w:rPr>
              <w:t>21%</w:t>
            </w:r>
          </w:p>
        </w:tc>
        <w:tc>
          <w:tcPr>
            <w:tcW w:w="1559" w:type="dxa"/>
          </w:tcPr>
          <w:p w14:paraId="04FD5D59" w14:textId="77777777" w:rsidR="00514AA9" w:rsidRPr="00A86663" w:rsidRDefault="00514AA9" w:rsidP="00514AA9">
            <w:pPr>
              <w:rPr>
                <w:rFonts w:cs="Arial"/>
                <w:color w:val="auto"/>
                <w:sz w:val="22"/>
                <w:szCs w:val="22"/>
              </w:rPr>
            </w:pPr>
            <w:r w:rsidRPr="00A86663">
              <w:rPr>
                <w:rFonts w:cs="Arial"/>
                <w:color w:val="auto"/>
                <w:sz w:val="22"/>
                <w:szCs w:val="22"/>
              </w:rPr>
              <w:t>11%</w:t>
            </w:r>
          </w:p>
        </w:tc>
        <w:tc>
          <w:tcPr>
            <w:tcW w:w="992" w:type="dxa"/>
          </w:tcPr>
          <w:p w14:paraId="06F2E4F2" w14:textId="77777777" w:rsidR="00514AA9" w:rsidRPr="00A86663" w:rsidRDefault="00514AA9" w:rsidP="00514AA9">
            <w:pPr>
              <w:rPr>
                <w:rFonts w:cs="Arial"/>
                <w:color w:val="auto"/>
                <w:sz w:val="22"/>
                <w:szCs w:val="22"/>
              </w:rPr>
            </w:pPr>
            <w:r w:rsidRPr="00A86663">
              <w:rPr>
                <w:rFonts w:cs="Arial"/>
                <w:color w:val="auto"/>
                <w:sz w:val="22"/>
                <w:szCs w:val="22"/>
              </w:rPr>
              <w:t>17%</w:t>
            </w:r>
          </w:p>
        </w:tc>
      </w:tr>
      <w:tr w:rsidR="00A86663" w:rsidRPr="00A86663" w14:paraId="48D2A63E" w14:textId="77777777" w:rsidTr="00514AA9">
        <w:trPr>
          <w:trHeight w:val="572"/>
        </w:trPr>
        <w:tc>
          <w:tcPr>
            <w:tcW w:w="1129" w:type="dxa"/>
          </w:tcPr>
          <w:p w14:paraId="221FFDF2" w14:textId="77777777" w:rsidR="00514AA9" w:rsidRPr="00A86663" w:rsidRDefault="00514AA9" w:rsidP="00514AA9">
            <w:pPr>
              <w:rPr>
                <w:rFonts w:cs="Arial"/>
                <w:color w:val="auto"/>
              </w:rPr>
            </w:pPr>
            <w:r w:rsidRPr="00A86663">
              <w:rPr>
                <w:rFonts w:cs="Arial"/>
                <w:color w:val="auto"/>
              </w:rPr>
              <w:t>LA</w:t>
            </w:r>
          </w:p>
        </w:tc>
        <w:tc>
          <w:tcPr>
            <w:tcW w:w="1701" w:type="dxa"/>
          </w:tcPr>
          <w:p w14:paraId="405DE2B6" w14:textId="77777777" w:rsidR="00514AA9" w:rsidRPr="00A86663" w:rsidRDefault="00514AA9" w:rsidP="00514AA9">
            <w:pPr>
              <w:rPr>
                <w:rFonts w:cs="Arial"/>
                <w:color w:val="auto"/>
                <w:sz w:val="22"/>
                <w:szCs w:val="22"/>
              </w:rPr>
            </w:pPr>
            <w:r w:rsidRPr="00A86663">
              <w:rPr>
                <w:rFonts w:cs="Arial"/>
                <w:color w:val="auto"/>
                <w:sz w:val="22"/>
                <w:szCs w:val="22"/>
              </w:rPr>
              <w:t>66%</w:t>
            </w:r>
          </w:p>
          <w:p w14:paraId="6CCF49FD" w14:textId="77777777" w:rsidR="00514AA9" w:rsidRPr="00A86663" w:rsidRDefault="00514AA9" w:rsidP="00514AA9">
            <w:pPr>
              <w:rPr>
                <w:rFonts w:cs="Arial"/>
                <w:color w:val="auto"/>
                <w:sz w:val="22"/>
                <w:szCs w:val="22"/>
              </w:rPr>
            </w:pPr>
            <w:r w:rsidRPr="00A86663">
              <w:rPr>
                <w:rFonts w:cs="Arial"/>
                <w:color w:val="auto"/>
                <w:sz w:val="22"/>
                <w:szCs w:val="22"/>
              </w:rPr>
              <w:t>School +9%</w:t>
            </w:r>
          </w:p>
        </w:tc>
        <w:tc>
          <w:tcPr>
            <w:tcW w:w="1701" w:type="dxa"/>
          </w:tcPr>
          <w:p w14:paraId="675661FF" w14:textId="77777777" w:rsidR="00514AA9" w:rsidRPr="00A86663" w:rsidRDefault="00514AA9" w:rsidP="00514AA9">
            <w:pPr>
              <w:rPr>
                <w:rFonts w:cs="Arial"/>
                <w:color w:val="auto"/>
                <w:sz w:val="22"/>
                <w:szCs w:val="22"/>
              </w:rPr>
            </w:pPr>
            <w:r w:rsidRPr="00A86663">
              <w:rPr>
                <w:rFonts w:cs="Arial"/>
                <w:color w:val="auto"/>
                <w:sz w:val="22"/>
                <w:szCs w:val="22"/>
              </w:rPr>
              <w:t>60%</w:t>
            </w:r>
          </w:p>
          <w:p w14:paraId="77FA73D6" w14:textId="77777777" w:rsidR="00514AA9" w:rsidRPr="00A86663" w:rsidRDefault="00514AA9" w:rsidP="00514AA9">
            <w:pPr>
              <w:rPr>
                <w:rFonts w:cs="Arial"/>
                <w:color w:val="auto"/>
                <w:sz w:val="22"/>
                <w:szCs w:val="22"/>
              </w:rPr>
            </w:pPr>
            <w:r w:rsidRPr="00A86663">
              <w:rPr>
                <w:rFonts w:cs="Arial"/>
                <w:color w:val="auto"/>
                <w:sz w:val="22"/>
                <w:szCs w:val="22"/>
              </w:rPr>
              <w:t>School +9%</w:t>
            </w:r>
          </w:p>
        </w:tc>
        <w:tc>
          <w:tcPr>
            <w:tcW w:w="1701" w:type="dxa"/>
          </w:tcPr>
          <w:p w14:paraId="5E3AD0C7" w14:textId="77777777" w:rsidR="00514AA9" w:rsidRPr="00A86663" w:rsidRDefault="00514AA9" w:rsidP="00514AA9">
            <w:pPr>
              <w:rPr>
                <w:rFonts w:cs="Arial"/>
                <w:color w:val="auto"/>
                <w:sz w:val="22"/>
                <w:szCs w:val="22"/>
              </w:rPr>
            </w:pPr>
            <w:r w:rsidRPr="00A86663">
              <w:rPr>
                <w:rFonts w:cs="Arial"/>
                <w:color w:val="auto"/>
                <w:sz w:val="22"/>
                <w:szCs w:val="22"/>
              </w:rPr>
              <w:t>69%</w:t>
            </w:r>
          </w:p>
          <w:p w14:paraId="11683BD6" w14:textId="77777777" w:rsidR="00514AA9" w:rsidRPr="00A86663" w:rsidRDefault="00514AA9" w:rsidP="00514AA9">
            <w:pPr>
              <w:rPr>
                <w:rFonts w:cs="Arial"/>
                <w:color w:val="auto"/>
                <w:sz w:val="22"/>
                <w:szCs w:val="22"/>
              </w:rPr>
            </w:pPr>
            <w:r w:rsidRPr="00A86663">
              <w:rPr>
                <w:rFonts w:cs="Arial"/>
                <w:color w:val="auto"/>
                <w:sz w:val="22"/>
                <w:szCs w:val="22"/>
              </w:rPr>
              <w:t>School +11%</w:t>
            </w:r>
          </w:p>
        </w:tc>
        <w:tc>
          <w:tcPr>
            <w:tcW w:w="1418" w:type="dxa"/>
          </w:tcPr>
          <w:p w14:paraId="66CC368A" w14:textId="77777777" w:rsidR="00514AA9" w:rsidRPr="00A86663" w:rsidRDefault="00514AA9" w:rsidP="00514AA9">
            <w:pPr>
              <w:rPr>
                <w:rFonts w:cs="Arial"/>
                <w:color w:val="auto"/>
                <w:sz w:val="22"/>
                <w:szCs w:val="22"/>
              </w:rPr>
            </w:pPr>
            <w:r w:rsidRPr="00A86663">
              <w:rPr>
                <w:rFonts w:cs="Arial"/>
                <w:color w:val="auto"/>
                <w:sz w:val="22"/>
                <w:szCs w:val="22"/>
              </w:rPr>
              <w:t>19%</w:t>
            </w:r>
          </w:p>
          <w:p w14:paraId="43553602" w14:textId="77777777" w:rsidR="00514AA9" w:rsidRPr="00A86663" w:rsidRDefault="00514AA9" w:rsidP="00514AA9">
            <w:pPr>
              <w:rPr>
                <w:rFonts w:cs="Arial"/>
                <w:color w:val="auto"/>
                <w:sz w:val="22"/>
                <w:szCs w:val="22"/>
              </w:rPr>
            </w:pPr>
            <w:r w:rsidRPr="00A86663">
              <w:rPr>
                <w:rFonts w:cs="Arial"/>
                <w:color w:val="auto"/>
                <w:sz w:val="22"/>
                <w:szCs w:val="22"/>
              </w:rPr>
              <w:t>School +2%</w:t>
            </w:r>
          </w:p>
        </w:tc>
        <w:tc>
          <w:tcPr>
            <w:tcW w:w="1559" w:type="dxa"/>
          </w:tcPr>
          <w:p w14:paraId="3705B774" w14:textId="77777777" w:rsidR="00514AA9" w:rsidRPr="00A86663" w:rsidRDefault="00514AA9" w:rsidP="00514AA9">
            <w:pPr>
              <w:rPr>
                <w:rFonts w:cs="Arial"/>
                <w:color w:val="auto"/>
                <w:sz w:val="22"/>
                <w:szCs w:val="22"/>
              </w:rPr>
            </w:pPr>
            <w:r w:rsidRPr="00A86663">
              <w:rPr>
                <w:rFonts w:cs="Arial"/>
                <w:color w:val="auto"/>
                <w:sz w:val="22"/>
                <w:szCs w:val="22"/>
              </w:rPr>
              <w:t>9%</w:t>
            </w:r>
          </w:p>
          <w:p w14:paraId="715BB6FA" w14:textId="77777777" w:rsidR="00514AA9" w:rsidRPr="00A86663" w:rsidRDefault="00514AA9" w:rsidP="00514AA9">
            <w:pPr>
              <w:rPr>
                <w:rFonts w:cs="Arial"/>
                <w:color w:val="auto"/>
                <w:sz w:val="22"/>
                <w:szCs w:val="22"/>
              </w:rPr>
            </w:pPr>
            <w:r w:rsidRPr="00A86663">
              <w:rPr>
                <w:rFonts w:cs="Arial"/>
                <w:color w:val="auto"/>
                <w:sz w:val="22"/>
                <w:szCs w:val="22"/>
              </w:rPr>
              <w:t>School +2%</w:t>
            </w:r>
          </w:p>
        </w:tc>
        <w:tc>
          <w:tcPr>
            <w:tcW w:w="992" w:type="dxa"/>
          </w:tcPr>
          <w:p w14:paraId="66878CDA" w14:textId="77777777" w:rsidR="00514AA9" w:rsidRPr="00A86663" w:rsidRDefault="00514AA9" w:rsidP="00514AA9">
            <w:pPr>
              <w:rPr>
                <w:rFonts w:cs="Arial"/>
                <w:color w:val="auto"/>
                <w:sz w:val="22"/>
                <w:szCs w:val="22"/>
              </w:rPr>
            </w:pPr>
            <w:r w:rsidRPr="00A86663">
              <w:rPr>
                <w:rFonts w:cs="Arial"/>
                <w:color w:val="auto"/>
                <w:sz w:val="22"/>
                <w:szCs w:val="22"/>
              </w:rPr>
              <w:t>16%</w:t>
            </w:r>
          </w:p>
          <w:p w14:paraId="79338718" w14:textId="77777777" w:rsidR="00514AA9" w:rsidRPr="00A86663" w:rsidRDefault="00514AA9" w:rsidP="00514AA9">
            <w:pPr>
              <w:rPr>
                <w:rFonts w:cs="Arial"/>
                <w:color w:val="auto"/>
                <w:sz w:val="22"/>
                <w:szCs w:val="22"/>
              </w:rPr>
            </w:pPr>
            <w:r w:rsidRPr="00A86663">
              <w:rPr>
                <w:rFonts w:cs="Arial"/>
                <w:color w:val="auto"/>
                <w:sz w:val="22"/>
                <w:szCs w:val="22"/>
              </w:rPr>
              <w:t>School +1%</w:t>
            </w:r>
          </w:p>
        </w:tc>
      </w:tr>
      <w:tr w:rsidR="00A86663" w:rsidRPr="00A86663" w14:paraId="396009AD" w14:textId="77777777" w:rsidTr="00514AA9">
        <w:trPr>
          <w:trHeight w:val="540"/>
        </w:trPr>
        <w:tc>
          <w:tcPr>
            <w:tcW w:w="1129" w:type="dxa"/>
          </w:tcPr>
          <w:p w14:paraId="5440828C" w14:textId="77777777" w:rsidR="00514AA9" w:rsidRPr="00A86663" w:rsidRDefault="00514AA9" w:rsidP="00514AA9">
            <w:pPr>
              <w:rPr>
                <w:rFonts w:cs="Arial"/>
                <w:color w:val="auto"/>
              </w:rPr>
            </w:pPr>
            <w:r w:rsidRPr="00A86663">
              <w:rPr>
                <w:rFonts w:cs="Arial"/>
                <w:color w:val="auto"/>
              </w:rPr>
              <w:t>National</w:t>
            </w:r>
          </w:p>
        </w:tc>
        <w:tc>
          <w:tcPr>
            <w:tcW w:w="1701" w:type="dxa"/>
          </w:tcPr>
          <w:p w14:paraId="49DD0F86" w14:textId="77777777" w:rsidR="00514AA9" w:rsidRPr="00A86663" w:rsidRDefault="00514AA9" w:rsidP="00514AA9">
            <w:pPr>
              <w:rPr>
                <w:rFonts w:cs="Arial"/>
                <w:color w:val="auto"/>
                <w:sz w:val="22"/>
                <w:szCs w:val="22"/>
              </w:rPr>
            </w:pPr>
            <w:r w:rsidRPr="00A86663">
              <w:rPr>
                <w:rFonts w:cs="Arial"/>
                <w:color w:val="auto"/>
                <w:sz w:val="22"/>
                <w:szCs w:val="22"/>
              </w:rPr>
              <w:t>68%</w:t>
            </w:r>
          </w:p>
          <w:p w14:paraId="40A95947" w14:textId="77777777" w:rsidR="00514AA9" w:rsidRPr="00A86663" w:rsidRDefault="00514AA9" w:rsidP="00514AA9">
            <w:pPr>
              <w:rPr>
                <w:rFonts w:cs="Arial"/>
                <w:color w:val="auto"/>
                <w:sz w:val="22"/>
                <w:szCs w:val="22"/>
              </w:rPr>
            </w:pPr>
            <w:r w:rsidRPr="00A86663">
              <w:rPr>
                <w:rFonts w:cs="Arial"/>
                <w:color w:val="auto"/>
                <w:sz w:val="22"/>
                <w:szCs w:val="22"/>
              </w:rPr>
              <w:t>School +7%</w:t>
            </w:r>
          </w:p>
        </w:tc>
        <w:tc>
          <w:tcPr>
            <w:tcW w:w="1701" w:type="dxa"/>
          </w:tcPr>
          <w:p w14:paraId="3BD2CB37" w14:textId="77777777" w:rsidR="00514AA9" w:rsidRPr="00A86663" w:rsidRDefault="00514AA9" w:rsidP="00514AA9">
            <w:pPr>
              <w:rPr>
                <w:rFonts w:cs="Arial"/>
                <w:color w:val="auto"/>
                <w:sz w:val="22"/>
                <w:szCs w:val="22"/>
              </w:rPr>
            </w:pPr>
            <w:r w:rsidRPr="00A86663">
              <w:rPr>
                <w:rFonts w:cs="Arial"/>
                <w:color w:val="auto"/>
                <w:sz w:val="22"/>
                <w:szCs w:val="22"/>
              </w:rPr>
              <w:t>61%</w:t>
            </w:r>
          </w:p>
          <w:p w14:paraId="20CACF54" w14:textId="77777777" w:rsidR="00514AA9" w:rsidRPr="00A86663" w:rsidRDefault="00514AA9" w:rsidP="00514AA9">
            <w:pPr>
              <w:rPr>
                <w:rFonts w:cs="Arial"/>
                <w:color w:val="auto"/>
                <w:sz w:val="22"/>
                <w:szCs w:val="22"/>
              </w:rPr>
            </w:pPr>
            <w:r w:rsidRPr="00A86663">
              <w:rPr>
                <w:rFonts w:cs="Arial"/>
                <w:color w:val="auto"/>
                <w:sz w:val="22"/>
                <w:szCs w:val="22"/>
              </w:rPr>
              <w:t>School +8%</w:t>
            </w:r>
          </w:p>
        </w:tc>
        <w:tc>
          <w:tcPr>
            <w:tcW w:w="1701" w:type="dxa"/>
          </w:tcPr>
          <w:p w14:paraId="1F8094E5" w14:textId="77777777" w:rsidR="00514AA9" w:rsidRPr="00A86663" w:rsidRDefault="00514AA9" w:rsidP="00514AA9">
            <w:pPr>
              <w:rPr>
                <w:rFonts w:cs="Arial"/>
                <w:color w:val="auto"/>
                <w:sz w:val="22"/>
                <w:szCs w:val="22"/>
              </w:rPr>
            </w:pPr>
            <w:r w:rsidRPr="00A86663">
              <w:rPr>
                <w:rFonts w:cs="Arial"/>
                <w:color w:val="auto"/>
                <w:sz w:val="22"/>
                <w:szCs w:val="22"/>
              </w:rPr>
              <w:t>70%</w:t>
            </w:r>
          </w:p>
          <w:p w14:paraId="22DCE4B1" w14:textId="77777777" w:rsidR="00514AA9" w:rsidRPr="00A86663" w:rsidRDefault="00514AA9" w:rsidP="00514AA9">
            <w:pPr>
              <w:rPr>
                <w:rFonts w:cs="Arial"/>
                <w:color w:val="auto"/>
                <w:sz w:val="22"/>
                <w:szCs w:val="22"/>
              </w:rPr>
            </w:pPr>
            <w:r w:rsidRPr="00A86663">
              <w:rPr>
                <w:rFonts w:cs="Arial"/>
                <w:color w:val="auto"/>
                <w:sz w:val="22"/>
                <w:szCs w:val="22"/>
              </w:rPr>
              <w:t>School +10%</w:t>
            </w:r>
          </w:p>
        </w:tc>
        <w:tc>
          <w:tcPr>
            <w:tcW w:w="1418" w:type="dxa"/>
          </w:tcPr>
          <w:p w14:paraId="0F3E296E" w14:textId="77777777" w:rsidR="00514AA9" w:rsidRPr="00A86663" w:rsidRDefault="00514AA9" w:rsidP="00514AA9">
            <w:pPr>
              <w:rPr>
                <w:rFonts w:cs="Arial"/>
                <w:color w:val="auto"/>
                <w:sz w:val="22"/>
                <w:szCs w:val="22"/>
              </w:rPr>
            </w:pPr>
            <w:r w:rsidRPr="00A86663">
              <w:rPr>
                <w:rFonts w:cs="Arial"/>
                <w:color w:val="auto"/>
                <w:sz w:val="22"/>
                <w:szCs w:val="22"/>
              </w:rPr>
              <w:t>19%</w:t>
            </w:r>
          </w:p>
          <w:p w14:paraId="5EC80D3E" w14:textId="77777777" w:rsidR="00514AA9" w:rsidRPr="00A86663" w:rsidRDefault="00514AA9" w:rsidP="00514AA9">
            <w:pPr>
              <w:rPr>
                <w:rFonts w:cs="Arial"/>
                <w:color w:val="auto"/>
                <w:sz w:val="22"/>
                <w:szCs w:val="22"/>
              </w:rPr>
            </w:pPr>
            <w:r w:rsidRPr="00A86663">
              <w:rPr>
                <w:rFonts w:cs="Arial"/>
                <w:color w:val="auto"/>
                <w:sz w:val="22"/>
                <w:szCs w:val="22"/>
              </w:rPr>
              <w:t>School +2%</w:t>
            </w:r>
          </w:p>
        </w:tc>
        <w:tc>
          <w:tcPr>
            <w:tcW w:w="1559" w:type="dxa"/>
          </w:tcPr>
          <w:p w14:paraId="3BB0EAC6" w14:textId="77777777" w:rsidR="00514AA9" w:rsidRPr="00A86663" w:rsidRDefault="00514AA9" w:rsidP="00514AA9">
            <w:pPr>
              <w:rPr>
                <w:rFonts w:cs="Arial"/>
                <w:color w:val="auto"/>
                <w:sz w:val="22"/>
                <w:szCs w:val="22"/>
              </w:rPr>
            </w:pPr>
            <w:r w:rsidRPr="00A86663">
              <w:rPr>
                <w:rFonts w:cs="Arial"/>
                <w:color w:val="auto"/>
                <w:sz w:val="22"/>
                <w:szCs w:val="22"/>
              </w:rPr>
              <w:t>8%</w:t>
            </w:r>
          </w:p>
          <w:p w14:paraId="0D2B9350" w14:textId="77777777" w:rsidR="00514AA9" w:rsidRPr="00A86663" w:rsidRDefault="00514AA9" w:rsidP="00514AA9">
            <w:pPr>
              <w:rPr>
                <w:rFonts w:cs="Arial"/>
                <w:color w:val="auto"/>
                <w:sz w:val="22"/>
                <w:szCs w:val="22"/>
              </w:rPr>
            </w:pPr>
            <w:r w:rsidRPr="00A86663">
              <w:rPr>
                <w:rFonts w:cs="Arial"/>
                <w:color w:val="auto"/>
                <w:sz w:val="22"/>
                <w:szCs w:val="22"/>
              </w:rPr>
              <w:t>School +3%</w:t>
            </w:r>
          </w:p>
        </w:tc>
        <w:tc>
          <w:tcPr>
            <w:tcW w:w="992" w:type="dxa"/>
          </w:tcPr>
          <w:p w14:paraId="5BBF0E52" w14:textId="77777777" w:rsidR="00514AA9" w:rsidRPr="00A86663" w:rsidRDefault="00514AA9" w:rsidP="00514AA9">
            <w:pPr>
              <w:rPr>
                <w:rFonts w:cs="Arial"/>
                <w:color w:val="auto"/>
                <w:sz w:val="22"/>
                <w:szCs w:val="22"/>
              </w:rPr>
            </w:pPr>
            <w:r w:rsidRPr="00A86663">
              <w:rPr>
                <w:rFonts w:cs="Arial"/>
                <w:color w:val="auto"/>
                <w:sz w:val="22"/>
                <w:szCs w:val="22"/>
              </w:rPr>
              <w:t>16%</w:t>
            </w:r>
          </w:p>
          <w:p w14:paraId="4B954AB6" w14:textId="77777777" w:rsidR="00514AA9" w:rsidRPr="00A86663" w:rsidRDefault="00514AA9" w:rsidP="00514AA9">
            <w:pPr>
              <w:rPr>
                <w:rFonts w:cs="Arial"/>
                <w:color w:val="auto"/>
                <w:sz w:val="22"/>
                <w:szCs w:val="22"/>
              </w:rPr>
            </w:pPr>
            <w:r w:rsidRPr="00A86663">
              <w:rPr>
                <w:rFonts w:cs="Arial"/>
                <w:color w:val="auto"/>
                <w:sz w:val="22"/>
                <w:szCs w:val="22"/>
              </w:rPr>
              <w:t>School +1%</w:t>
            </w:r>
          </w:p>
        </w:tc>
      </w:tr>
    </w:tbl>
    <w:p w14:paraId="5A7BF5C5" w14:textId="3E11619F" w:rsidR="005F692B" w:rsidRPr="00A86663" w:rsidRDefault="005F692B" w:rsidP="005F692B">
      <w:pPr>
        <w:ind w:left="720" w:hanging="360"/>
        <w:rPr>
          <w:color w:val="auto"/>
          <w:sz w:val="28"/>
          <w:szCs w:val="28"/>
        </w:rPr>
      </w:pPr>
      <w:r w:rsidRPr="00A86663">
        <w:rPr>
          <w:color w:val="auto"/>
          <w:sz w:val="28"/>
          <w:szCs w:val="28"/>
        </w:rPr>
        <w:t xml:space="preserve">This details the impact that our pupil premium activity had on pupils in the </w:t>
      </w:r>
      <w:r w:rsidRPr="00A86663">
        <w:rPr>
          <w:b/>
          <w:bCs/>
          <w:color w:val="auto"/>
          <w:sz w:val="28"/>
          <w:szCs w:val="28"/>
        </w:rPr>
        <w:t>202</w:t>
      </w:r>
      <w:r w:rsidR="00DC76CC" w:rsidRPr="00A86663">
        <w:rPr>
          <w:b/>
          <w:bCs/>
          <w:color w:val="auto"/>
          <w:sz w:val="28"/>
          <w:szCs w:val="28"/>
        </w:rPr>
        <w:t>2</w:t>
      </w:r>
      <w:r w:rsidRPr="00A86663">
        <w:rPr>
          <w:b/>
          <w:bCs/>
          <w:color w:val="auto"/>
          <w:sz w:val="28"/>
          <w:szCs w:val="28"/>
        </w:rPr>
        <w:t xml:space="preserve"> to 202</w:t>
      </w:r>
      <w:r w:rsidR="00DC76CC" w:rsidRPr="00A86663">
        <w:rPr>
          <w:b/>
          <w:bCs/>
          <w:color w:val="auto"/>
          <w:sz w:val="28"/>
          <w:szCs w:val="28"/>
        </w:rPr>
        <w:t>3</w:t>
      </w:r>
      <w:r w:rsidRPr="00A86663">
        <w:rPr>
          <w:b/>
          <w:bCs/>
          <w:color w:val="auto"/>
          <w:sz w:val="28"/>
          <w:szCs w:val="28"/>
        </w:rPr>
        <w:t xml:space="preserve"> </w:t>
      </w:r>
      <w:r w:rsidRPr="00A86663">
        <w:rPr>
          <w:color w:val="auto"/>
          <w:sz w:val="28"/>
          <w:szCs w:val="28"/>
        </w:rPr>
        <w:t xml:space="preserve">academic year. </w:t>
      </w:r>
    </w:p>
    <w:p w14:paraId="2246AA20" w14:textId="77777777" w:rsidR="00A86663" w:rsidRPr="00A86663" w:rsidRDefault="00A86663" w:rsidP="00A86663">
      <w:pPr>
        <w:pStyle w:val="ListParagraph"/>
        <w:numPr>
          <w:ilvl w:val="0"/>
          <w:numId w:val="0"/>
        </w:numPr>
        <w:ind w:left="360"/>
        <w:rPr>
          <w:color w:val="auto"/>
        </w:rPr>
      </w:pPr>
    </w:p>
    <w:p w14:paraId="76823A40" w14:textId="77777777" w:rsidR="00A86663" w:rsidRPr="00A86663" w:rsidRDefault="00A86663" w:rsidP="00A86663">
      <w:pPr>
        <w:pStyle w:val="ListParagraph"/>
        <w:numPr>
          <w:ilvl w:val="0"/>
          <w:numId w:val="0"/>
        </w:numPr>
        <w:ind w:left="360"/>
        <w:rPr>
          <w:color w:val="auto"/>
        </w:rPr>
      </w:pPr>
    </w:p>
    <w:p w14:paraId="6AD3C943" w14:textId="77777777" w:rsidR="00A86663" w:rsidRDefault="00A86663" w:rsidP="00A86663">
      <w:pPr>
        <w:pStyle w:val="ListParagraph"/>
        <w:numPr>
          <w:ilvl w:val="0"/>
          <w:numId w:val="0"/>
        </w:numPr>
        <w:ind w:left="360"/>
        <w:rPr>
          <w:color w:val="auto"/>
        </w:rPr>
      </w:pPr>
    </w:p>
    <w:p w14:paraId="0F00B7ED" w14:textId="77777777" w:rsidR="00A86663" w:rsidRDefault="00A86663" w:rsidP="00A86663">
      <w:pPr>
        <w:pStyle w:val="ListParagraph"/>
        <w:numPr>
          <w:ilvl w:val="0"/>
          <w:numId w:val="0"/>
        </w:numPr>
        <w:ind w:left="360"/>
        <w:rPr>
          <w:color w:val="auto"/>
        </w:rPr>
      </w:pPr>
    </w:p>
    <w:tbl>
      <w:tblPr>
        <w:tblStyle w:val="TableGrid"/>
        <w:tblW w:w="0" w:type="auto"/>
        <w:tblInd w:w="279" w:type="dxa"/>
        <w:tblLook w:val="04A0" w:firstRow="1" w:lastRow="0" w:firstColumn="1" w:lastColumn="0" w:noHBand="0" w:noVBand="1"/>
      </w:tblPr>
      <w:tblGrid>
        <w:gridCol w:w="3544"/>
        <w:gridCol w:w="1701"/>
        <w:gridCol w:w="1842"/>
        <w:gridCol w:w="1843"/>
      </w:tblGrid>
      <w:tr w:rsidR="00A86663" w:rsidRPr="00A86663" w14:paraId="44920295" w14:textId="77777777" w:rsidTr="0007271C">
        <w:tc>
          <w:tcPr>
            <w:tcW w:w="8930" w:type="dxa"/>
            <w:gridSpan w:val="4"/>
          </w:tcPr>
          <w:p w14:paraId="2EC1316E" w14:textId="29524E07" w:rsidR="00A86663" w:rsidRPr="00A86663" w:rsidRDefault="00A86663" w:rsidP="0007271C">
            <w:pPr>
              <w:spacing w:line="259" w:lineRule="auto"/>
              <w:jc w:val="center"/>
              <w:rPr>
                <w:rFonts w:cs="Arial"/>
                <w:b/>
                <w:bCs/>
                <w:color w:val="auto"/>
                <w:sz w:val="28"/>
                <w:szCs w:val="28"/>
              </w:rPr>
            </w:pPr>
            <w:r w:rsidRPr="00A86663">
              <w:rPr>
                <w:rFonts w:cs="Arial"/>
                <w:b/>
                <w:bCs/>
                <w:color w:val="auto"/>
                <w:sz w:val="28"/>
                <w:szCs w:val="28"/>
              </w:rPr>
              <w:t>Year 2 Pupil Premium Results July 202</w:t>
            </w:r>
            <w:r>
              <w:rPr>
                <w:rFonts w:cs="Arial"/>
                <w:b/>
                <w:bCs/>
                <w:color w:val="auto"/>
                <w:sz w:val="28"/>
                <w:szCs w:val="28"/>
              </w:rPr>
              <w:t>3</w:t>
            </w:r>
          </w:p>
        </w:tc>
      </w:tr>
      <w:tr w:rsidR="00A86663" w:rsidRPr="00A86663" w14:paraId="42C65705" w14:textId="77777777" w:rsidTr="0007271C">
        <w:tc>
          <w:tcPr>
            <w:tcW w:w="3544" w:type="dxa"/>
          </w:tcPr>
          <w:p w14:paraId="3079DBC2" w14:textId="6395EEE5" w:rsidR="00A86663" w:rsidRPr="00A86663" w:rsidRDefault="00A86663" w:rsidP="0007271C">
            <w:pPr>
              <w:spacing w:line="259" w:lineRule="auto"/>
              <w:rPr>
                <w:rFonts w:cs="Arial"/>
                <w:b/>
                <w:bCs/>
                <w:color w:val="auto"/>
              </w:rPr>
            </w:pPr>
            <w:r w:rsidRPr="00A86663">
              <w:rPr>
                <w:rFonts w:cs="Arial"/>
                <w:b/>
                <w:bCs/>
                <w:color w:val="auto"/>
              </w:rPr>
              <w:t xml:space="preserve">Summer </w:t>
            </w:r>
            <w:r w:rsidRPr="00A86663">
              <w:rPr>
                <w:rFonts w:cs="Arial"/>
                <w:color w:val="auto"/>
              </w:rPr>
              <w:t>(July 202</w:t>
            </w:r>
            <w:r>
              <w:rPr>
                <w:rFonts w:cs="Arial"/>
                <w:color w:val="auto"/>
              </w:rPr>
              <w:t>3</w:t>
            </w:r>
            <w:r w:rsidRPr="00A86663">
              <w:rPr>
                <w:rFonts w:cs="Arial"/>
                <w:color w:val="auto"/>
              </w:rPr>
              <w:t>)</w:t>
            </w:r>
          </w:p>
        </w:tc>
        <w:tc>
          <w:tcPr>
            <w:tcW w:w="1701" w:type="dxa"/>
          </w:tcPr>
          <w:p w14:paraId="4DF05BD8" w14:textId="77777777" w:rsidR="00A86663" w:rsidRPr="00A86663" w:rsidRDefault="00A86663" w:rsidP="0007271C">
            <w:pPr>
              <w:spacing w:line="259" w:lineRule="auto"/>
              <w:jc w:val="center"/>
              <w:rPr>
                <w:rFonts w:cs="Arial"/>
                <w:b/>
                <w:bCs/>
                <w:color w:val="auto"/>
              </w:rPr>
            </w:pPr>
            <w:r w:rsidRPr="00A86663">
              <w:rPr>
                <w:rFonts w:cs="Arial"/>
                <w:b/>
                <w:bCs/>
                <w:color w:val="auto"/>
              </w:rPr>
              <w:t>R</w:t>
            </w:r>
          </w:p>
        </w:tc>
        <w:tc>
          <w:tcPr>
            <w:tcW w:w="1842" w:type="dxa"/>
          </w:tcPr>
          <w:p w14:paraId="19005A6B" w14:textId="77777777" w:rsidR="00A86663" w:rsidRPr="00A86663" w:rsidRDefault="00A86663" w:rsidP="0007271C">
            <w:pPr>
              <w:spacing w:line="259" w:lineRule="auto"/>
              <w:jc w:val="center"/>
              <w:rPr>
                <w:rFonts w:cs="Arial"/>
                <w:b/>
                <w:bCs/>
                <w:color w:val="auto"/>
              </w:rPr>
            </w:pPr>
            <w:r w:rsidRPr="00A86663">
              <w:rPr>
                <w:rFonts w:cs="Arial"/>
                <w:b/>
                <w:bCs/>
                <w:color w:val="auto"/>
              </w:rPr>
              <w:t>W</w:t>
            </w:r>
          </w:p>
        </w:tc>
        <w:tc>
          <w:tcPr>
            <w:tcW w:w="1843" w:type="dxa"/>
          </w:tcPr>
          <w:p w14:paraId="3D997265" w14:textId="77777777" w:rsidR="00A86663" w:rsidRPr="00A86663" w:rsidRDefault="00A86663" w:rsidP="0007271C">
            <w:pPr>
              <w:spacing w:line="259" w:lineRule="auto"/>
              <w:jc w:val="center"/>
              <w:rPr>
                <w:rFonts w:cs="Arial"/>
                <w:b/>
                <w:bCs/>
                <w:color w:val="auto"/>
              </w:rPr>
            </w:pPr>
            <w:r w:rsidRPr="00A86663">
              <w:rPr>
                <w:rFonts w:cs="Arial"/>
                <w:b/>
                <w:bCs/>
                <w:color w:val="auto"/>
              </w:rPr>
              <w:t>M</w:t>
            </w:r>
          </w:p>
        </w:tc>
      </w:tr>
      <w:tr w:rsidR="00A86663" w:rsidRPr="00A86663" w14:paraId="1014A748" w14:textId="77777777" w:rsidTr="0007271C">
        <w:tc>
          <w:tcPr>
            <w:tcW w:w="3544" w:type="dxa"/>
          </w:tcPr>
          <w:p w14:paraId="4E053BD9" w14:textId="77777777" w:rsidR="00A86663" w:rsidRPr="00A86663" w:rsidRDefault="00A86663" w:rsidP="0007271C">
            <w:pPr>
              <w:spacing w:line="259" w:lineRule="auto"/>
              <w:rPr>
                <w:rFonts w:cs="Arial"/>
                <w:color w:val="auto"/>
                <w:sz w:val="20"/>
                <w:szCs w:val="20"/>
              </w:rPr>
            </w:pPr>
            <w:r w:rsidRPr="00A86663">
              <w:rPr>
                <w:rFonts w:cs="Arial"/>
                <w:color w:val="auto"/>
              </w:rPr>
              <w:t xml:space="preserve">Non-Pupil Premium </w:t>
            </w:r>
            <w:r w:rsidRPr="00A86663">
              <w:rPr>
                <w:rFonts w:cs="Arial"/>
                <w:color w:val="auto"/>
                <w:sz w:val="20"/>
                <w:szCs w:val="20"/>
              </w:rPr>
              <w:t>(54 pupils)</w:t>
            </w:r>
          </w:p>
        </w:tc>
        <w:tc>
          <w:tcPr>
            <w:tcW w:w="1701" w:type="dxa"/>
          </w:tcPr>
          <w:p w14:paraId="39D5D64A" w14:textId="60A0D6CD" w:rsidR="00A86663" w:rsidRPr="00A86663" w:rsidRDefault="00A86663" w:rsidP="00A86663">
            <w:pPr>
              <w:spacing w:line="259" w:lineRule="auto"/>
              <w:jc w:val="center"/>
              <w:rPr>
                <w:rFonts w:cs="Arial"/>
                <w:color w:val="auto"/>
              </w:rPr>
            </w:pPr>
            <w:r>
              <w:rPr>
                <w:rFonts w:cs="Arial"/>
                <w:color w:val="auto"/>
              </w:rPr>
              <w:t>74%</w:t>
            </w:r>
          </w:p>
        </w:tc>
        <w:tc>
          <w:tcPr>
            <w:tcW w:w="1842" w:type="dxa"/>
          </w:tcPr>
          <w:p w14:paraId="5B8AA248" w14:textId="1E1D7525" w:rsidR="00A86663" w:rsidRPr="00A86663" w:rsidRDefault="00A86663" w:rsidP="00A86663">
            <w:pPr>
              <w:spacing w:line="259" w:lineRule="auto"/>
              <w:jc w:val="center"/>
              <w:rPr>
                <w:rFonts w:cs="Arial"/>
                <w:color w:val="auto"/>
              </w:rPr>
            </w:pPr>
            <w:r>
              <w:rPr>
                <w:rFonts w:cs="Arial"/>
                <w:color w:val="auto"/>
              </w:rPr>
              <w:t>75%</w:t>
            </w:r>
          </w:p>
        </w:tc>
        <w:tc>
          <w:tcPr>
            <w:tcW w:w="1843" w:type="dxa"/>
          </w:tcPr>
          <w:p w14:paraId="70809658" w14:textId="58A303E0" w:rsidR="00A86663" w:rsidRPr="00A86663" w:rsidRDefault="00A86663" w:rsidP="00A86663">
            <w:pPr>
              <w:spacing w:line="259" w:lineRule="auto"/>
              <w:jc w:val="center"/>
              <w:rPr>
                <w:rFonts w:cs="Arial"/>
                <w:color w:val="auto"/>
              </w:rPr>
            </w:pPr>
            <w:r>
              <w:rPr>
                <w:rFonts w:cs="Arial"/>
                <w:color w:val="auto"/>
              </w:rPr>
              <w:t>88%</w:t>
            </w:r>
          </w:p>
        </w:tc>
      </w:tr>
      <w:tr w:rsidR="00A86663" w:rsidRPr="00A86663" w14:paraId="00324FB8" w14:textId="77777777" w:rsidTr="0007271C">
        <w:tc>
          <w:tcPr>
            <w:tcW w:w="3544" w:type="dxa"/>
          </w:tcPr>
          <w:p w14:paraId="03622BA2" w14:textId="77777777" w:rsidR="00A86663" w:rsidRPr="00A86663" w:rsidRDefault="00A86663" w:rsidP="0007271C">
            <w:pPr>
              <w:tabs>
                <w:tab w:val="right" w:pos="2335"/>
              </w:tabs>
              <w:spacing w:line="259" w:lineRule="auto"/>
              <w:rPr>
                <w:rFonts w:cs="Arial"/>
                <w:color w:val="auto"/>
              </w:rPr>
            </w:pPr>
            <w:r w:rsidRPr="00A86663">
              <w:rPr>
                <w:rFonts w:cs="Arial"/>
                <w:color w:val="auto"/>
              </w:rPr>
              <w:t xml:space="preserve">Pupil Premium </w:t>
            </w:r>
            <w:r w:rsidRPr="00A86663">
              <w:rPr>
                <w:rFonts w:cs="Arial"/>
                <w:color w:val="auto"/>
                <w:sz w:val="20"/>
                <w:szCs w:val="20"/>
              </w:rPr>
              <w:t>(19 pupils)</w:t>
            </w:r>
          </w:p>
        </w:tc>
        <w:tc>
          <w:tcPr>
            <w:tcW w:w="1701" w:type="dxa"/>
          </w:tcPr>
          <w:p w14:paraId="68309B59" w14:textId="4BA4D9FB" w:rsidR="00A86663" w:rsidRPr="00A86663" w:rsidRDefault="00A86663" w:rsidP="00A86663">
            <w:pPr>
              <w:spacing w:line="259" w:lineRule="auto"/>
              <w:jc w:val="center"/>
              <w:rPr>
                <w:rFonts w:cs="Arial"/>
                <w:color w:val="auto"/>
              </w:rPr>
            </w:pPr>
            <w:r>
              <w:rPr>
                <w:rFonts w:cs="Arial"/>
                <w:color w:val="auto"/>
              </w:rPr>
              <w:t>77%</w:t>
            </w:r>
          </w:p>
        </w:tc>
        <w:tc>
          <w:tcPr>
            <w:tcW w:w="1842" w:type="dxa"/>
          </w:tcPr>
          <w:p w14:paraId="2BC499B2" w14:textId="1F65EBE8" w:rsidR="00A86663" w:rsidRPr="00A86663" w:rsidRDefault="00A86663" w:rsidP="00A86663">
            <w:pPr>
              <w:spacing w:line="259" w:lineRule="auto"/>
              <w:jc w:val="center"/>
              <w:rPr>
                <w:rFonts w:cs="Arial"/>
                <w:color w:val="auto"/>
              </w:rPr>
            </w:pPr>
            <w:r>
              <w:rPr>
                <w:rFonts w:cs="Arial"/>
                <w:color w:val="auto"/>
              </w:rPr>
              <w:t>57%</w:t>
            </w:r>
          </w:p>
        </w:tc>
        <w:tc>
          <w:tcPr>
            <w:tcW w:w="1843" w:type="dxa"/>
          </w:tcPr>
          <w:p w14:paraId="30491EE0" w14:textId="7C38182B" w:rsidR="00A86663" w:rsidRPr="00A86663" w:rsidRDefault="00A86663" w:rsidP="00A86663">
            <w:pPr>
              <w:spacing w:line="259" w:lineRule="auto"/>
              <w:jc w:val="center"/>
              <w:rPr>
                <w:rFonts w:cs="Arial"/>
                <w:color w:val="auto"/>
              </w:rPr>
            </w:pPr>
            <w:r>
              <w:rPr>
                <w:rFonts w:cs="Arial"/>
                <w:color w:val="auto"/>
              </w:rPr>
              <w:t>67%</w:t>
            </w:r>
          </w:p>
        </w:tc>
      </w:tr>
      <w:tr w:rsidR="00A86663" w:rsidRPr="00A86663" w14:paraId="36C9B9CD" w14:textId="77777777" w:rsidTr="0007271C">
        <w:tc>
          <w:tcPr>
            <w:tcW w:w="3544" w:type="dxa"/>
          </w:tcPr>
          <w:p w14:paraId="2528FF3E" w14:textId="77777777" w:rsidR="00A86663" w:rsidRPr="00A86663" w:rsidRDefault="00A86663" w:rsidP="0007271C">
            <w:pPr>
              <w:spacing w:line="259" w:lineRule="auto"/>
              <w:rPr>
                <w:rFonts w:cs="Arial"/>
                <w:color w:val="auto"/>
              </w:rPr>
            </w:pPr>
            <w:r w:rsidRPr="00A86663">
              <w:rPr>
                <w:rFonts w:cs="Arial"/>
                <w:color w:val="auto"/>
              </w:rPr>
              <w:t>Gap</w:t>
            </w:r>
          </w:p>
        </w:tc>
        <w:tc>
          <w:tcPr>
            <w:tcW w:w="1701" w:type="dxa"/>
          </w:tcPr>
          <w:p w14:paraId="30D4A63F" w14:textId="2548ACD5" w:rsidR="00A86663" w:rsidRPr="00A86663" w:rsidRDefault="00A86663" w:rsidP="0007271C">
            <w:pPr>
              <w:spacing w:line="259" w:lineRule="auto"/>
              <w:jc w:val="center"/>
              <w:rPr>
                <w:rFonts w:cs="Arial"/>
                <w:color w:val="auto"/>
              </w:rPr>
            </w:pPr>
            <w:r>
              <w:rPr>
                <w:rFonts w:cs="Arial"/>
                <w:color w:val="auto"/>
              </w:rPr>
              <w:t>+3</w:t>
            </w:r>
            <w:r w:rsidRPr="00A86663">
              <w:rPr>
                <w:rFonts w:cs="Arial"/>
                <w:color w:val="auto"/>
              </w:rPr>
              <w:t>%</w:t>
            </w:r>
          </w:p>
        </w:tc>
        <w:tc>
          <w:tcPr>
            <w:tcW w:w="1842" w:type="dxa"/>
          </w:tcPr>
          <w:p w14:paraId="68FA9401" w14:textId="76BF04E8" w:rsidR="00A86663" w:rsidRPr="00A86663" w:rsidRDefault="00A86663" w:rsidP="0007271C">
            <w:pPr>
              <w:spacing w:line="259" w:lineRule="auto"/>
              <w:jc w:val="center"/>
              <w:rPr>
                <w:rFonts w:cs="Arial"/>
                <w:color w:val="auto"/>
              </w:rPr>
            </w:pPr>
            <w:r w:rsidRPr="00A86663">
              <w:rPr>
                <w:rFonts w:cs="Arial"/>
                <w:color w:val="auto"/>
              </w:rPr>
              <w:t>-</w:t>
            </w:r>
            <w:r>
              <w:rPr>
                <w:rFonts w:cs="Arial"/>
                <w:color w:val="auto"/>
              </w:rPr>
              <w:t>18</w:t>
            </w:r>
            <w:r w:rsidRPr="00A86663">
              <w:rPr>
                <w:rFonts w:cs="Arial"/>
                <w:color w:val="auto"/>
              </w:rPr>
              <w:t>%</w:t>
            </w:r>
          </w:p>
        </w:tc>
        <w:tc>
          <w:tcPr>
            <w:tcW w:w="1843" w:type="dxa"/>
          </w:tcPr>
          <w:p w14:paraId="700CD163" w14:textId="3C842F40" w:rsidR="00A86663" w:rsidRPr="00A86663" w:rsidRDefault="00A86663" w:rsidP="0007271C">
            <w:pPr>
              <w:spacing w:line="259" w:lineRule="auto"/>
              <w:jc w:val="center"/>
              <w:rPr>
                <w:rFonts w:cs="Arial"/>
                <w:color w:val="auto"/>
              </w:rPr>
            </w:pPr>
            <w:r w:rsidRPr="00A86663">
              <w:rPr>
                <w:rFonts w:cs="Arial"/>
                <w:color w:val="auto"/>
              </w:rPr>
              <w:t>-</w:t>
            </w:r>
            <w:r>
              <w:rPr>
                <w:rFonts w:cs="Arial"/>
                <w:color w:val="auto"/>
              </w:rPr>
              <w:t>21</w:t>
            </w:r>
            <w:r w:rsidRPr="00A86663">
              <w:rPr>
                <w:rFonts w:cs="Arial"/>
                <w:color w:val="auto"/>
              </w:rPr>
              <w:t>%</w:t>
            </w:r>
          </w:p>
        </w:tc>
      </w:tr>
    </w:tbl>
    <w:p w14:paraId="09E89D96" w14:textId="77777777" w:rsidR="00A86663" w:rsidRDefault="00A86663" w:rsidP="00A86663">
      <w:pPr>
        <w:spacing w:line="259" w:lineRule="auto"/>
        <w:rPr>
          <w:rFonts w:cs="Arial"/>
          <w:color w:val="auto"/>
        </w:rPr>
      </w:pPr>
    </w:p>
    <w:p w14:paraId="0F1A9F2B" w14:textId="4CD1FA01" w:rsidR="00514AA9" w:rsidRPr="00A86663" w:rsidRDefault="00514AA9" w:rsidP="00514AA9">
      <w:pPr>
        <w:pStyle w:val="ListParagraph"/>
        <w:ind w:left="360"/>
        <w:rPr>
          <w:color w:val="auto"/>
        </w:rPr>
      </w:pPr>
      <w:r w:rsidRPr="00A86663">
        <w:rPr>
          <w:color w:val="auto"/>
        </w:rPr>
        <w:t>In Reading the</w:t>
      </w:r>
      <w:r w:rsidR="00A86663">
        <w:rPr>
          <w:color w:val="auto"/>
        </w:rPr>
        <w:t xml:space="preserve"> gap was closed with more PP pupils achieving expected than non-PP pupils.</w:t>
      </w:r>
    </w:p>
    <w:p w14:paraId="0B58DCDC" w14:textId="16836999" w:rsidR="00514AA9" w:rsidRDefault="00514AA9" w:rsidP="00514AA9">
      <w:pPr>
        <w:pStyle w:val="ListParagraph"/>
        <w:ind w:left="360"/>
        <w:rPr>
          <w:color w:val="auto"/>
        </w:rPr>
      </w:pPr>
      <w:r w:rsidRPr="00A86663">
        <w:rPr>
          <w:color w:val="auto"/>
        </w:rPr>
        <w:t>In Maths and Writing the gap between pupil premium pupils and non-pupil premium pupils grew despite successful intervention</w:t>
      </w:r>
      <w:r w:rsidR="00A86663">
        <w:rPr>
          <w:color w:val="auto"/>
        </w:rPr>
        <w:t xml:space="preserve">s ensuring PP pupils made progress.  </w:t>
      </w:r>
      <w:r w:rsidRPr="00A86663">
        <w:rPr>
          <w:color w:val="auto"/>
        </w:rPr>
        <w:t xml:space="preserve">Three pupil premium pupils had EHCPs, and an additional three pupils had attendance, safeguarding and behaviour issues </w:t>
      </w:r>
      <w:r w:rsidR="00A86663">
        <w:rPr>
          <w:color w:val="auto"/>
        </w:rPr>
        <w:t xml:space="preserve">(21% of PP pupils) </w:t>
      </w:r>
      <w:r w:rsidR="00A86663" w:rsidRPr="00A86663">
        <w:rPr>
          <w:color w:val="auto"/>
        </w:rPr>
        <w:t>which</w:t>
      </w:r>
      <w:r w:rsidRPr="00A86663">
        <w:rPr>
          <w:color w:val="auto"/>
        </w:rPr>
        <w:t xml:space="preserve"> resulted in them being unable to access the full Maths curriculum so were unable to meet the requirements for the expec</w:t>
      </w:r>
      <w:r w:rsidR="00A86663">
        <w:rPr>
          <w:color w:val="auto"/>
        </w:rPr>
        <w:t>te</w:t>
      </w:r>
      <w:r w:rsidRPr="00A86663">
        <w:rPr>
          <w:color w:val="auto"/>
        </w:rPr>
        <w:t xml:space="preserve">d standard in Maths although they achieved expected in Reading.  </w:t>
      </w:r>
    </w:p>
    <w:p w14:paraId="755C5C7A" w14:textId="73194D16" w:rsidR="00A86663" w:rsidRDefault="00A86663" w:rsidP="00A86663">
      <w:pPr>
        <w:rPr>
          <w:color w:val="auto"/>
        </w:rPr>
      </w:pPr>
    </w:p>
    <w:p w14:paraId="2CAF335D" w14:textId="58523FB0" w:rsidR="00A86663" w:rsidRDefault="00A86663" w:rsidP="00A86663">
      <w:pPr>
        <w:rPr>
          <w:color w:val="auto"/>
        </w:rPr>
      </w:pPr>
    </w:p>
    <w:p w14:paraId="66623906" w14:textId="61327F35" w:rsidR="00A86663" w:rsidRDefault="00A86663" w:rsidP="00A86663">
      <w:pPr>
        <w:rPr>
          <w:color w:val="auto"/>
        </w:rPr>
      </w:pPr>
    </w:p>
    <w:p w14:paraId="694700E6" w14:textId="63FA5FEE" w:rsidR="00A86663" w:rsidRDefault="00A86663" w:rsidP="00A86663">
      <w:pPr>
        <w:rPr>
          <w:color w:val="auto"/>
        </w:rPr>
      </w:pPr>
    </w:p>
    <w:p w14:paraId="173F0847" w14:textId="682D44F6" w:rsidR="00A86663" w:rsidRDefault="00A86663" w:rsidP="00A86663">
      <w:pPr>
        <w:rPr>
          <w:color w:val="auto"/>
        </w:rPr>
      </w:pPr>
    </w:p>
    <w:p w14:paraId="2BBB81E9" w14:textId="53739ABD" w:rsidR="00A86663" w:rsidRDefault="00A86663" w:rsidP="00A86663">
      <w:pPr>
        <w:rPr>
          <w:color w:val="auto"/>
        </w:rPr>
      </w:pPr>
    </w:p>
    <w:p w14:paraId="15042F5C" w14:textId="5C99A912" w:rsidR="00A86663" w:rsidRDefault="00A86663" w:rsidP="00A86663">
      <w:pPr>
        <w:rPr>
          <w:color w:val="auto"/>
        </w:rPr>
      </w:pPr>
    </w:p>
    <w:p w14:paraId="0DF810C7" w14:textId="00A851BA" w:rsidR="00A86663" w:rsidRDefault="00A86663" w:rsidP="00A86663">
      <w:pPr>
        <w:rPr>
          <w:color w:val="auto"/>
        </w:rPr>
      </w:pPr>
    </w:p>
    <w:p w14:paraId="5453FF39" w14:textId="3572FF75" w:rsidR="00A86663" w:rsidRDefault="00A86663" w:rsidP="00A86663">
      <w:pPr>
        <w:rPr>
          <w:color w:val="auto"/>
        </w:rPr>
      </w:pPr>
    </w:p>
    <w:p w14:paraId="17BEF0F7" w14:textId="132EF5D2" w:rsidR="00A86663" w:rsidRDefault="00A86663" w:rsidP="00A86663">
      <w:pPr>
        <w:rPr>
          <w:color w:val="auto"/>
        </w:rPr>
      </w:pPr>
    </w:p>
    <w:p w14:paraId="6A893F2C" w14:textId="77777777" w:rsidR="00A86663" w:rsidRPr="00A86663" w:rsidRDefault="00A86663" w:rsidP="00A86663">
      <w:pPr>
        <w:rPr>
          <w:color w:val="auto"/>
        </w:rPr>
      </w:pPr>
    </w:p>
    <w:p w14:paraId="2A7D5548" w14:textId="02C35D20" w:rsidR="00E66558" w:rsidRPr="00A86663" w:rsidRDefault="009D71E8">
      <w:pPr>
        <w:pStyle w:val="Heading2"/>
        <w:spacing w:before="600"/>
        <w:rPr>
          <w:color w:val="auto"/>
        </w:rPr>
      </w:pPr>
      <w:r w:rsidRPr="00A86663">
        <w:rPr>
          <w:color w:val="auto"/>
        </w:rPr>
        <w:t>Externally provided programmes</w:t>
      </w:r>
    </w:p>
    <w:p w14:paraId="2A7D5549" w14:textId="77777777" w:rsidR="00E66558" w:rsidRDefault="009D71E8">
      <w:pPr>
        <w:rPr>
          <w:i/>
          <w:iCs/>
        </w:rPr>
      </w:pPr>
      <w:r w:rsidRPr="00A86663">
        <w:rPr>
          <w:i/>
          <w:iCs/>
          <w:color w:val="auto"/>
        </w:rPr>
        <w:t xml:space="preserve">Please include the names of any non-DfE programmes that you purchased in the </w:t>
      </w:r>
      <w:r>
        <w:rPr>
          <w:i/>
          <w:iCs/>
        </w:rPr>
        <w:t>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C7335F1" w:rsidR="00E66558" w:rsidRDefault="00A86663">
            <w:pPr>
              <w:pStyle w:val="TableRow"/>
            </w:pPr>
            <w:r>
              <w:t xml:space="preserve">Little </w:t>
            </w:r>
            <w:proofErr w:type="spellStart"/>
            <w:r>
              <w:t>Wandle</w:t>
            </w:r>
            <w:proofErr w:type="spellEnd"/>
            <w:r>
              <w:t xml:space="preserve"> Letters and Sounds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A0A66AC" w:rsidR="00E66558" w:rsidRDefault="00A86663">
            <w:pPr>
              <w:pStyle w:val="TableRowCentered"/>
              <w:jc w:val="left"/>
            </w:pPr>
            <w:r>
              <w:t xml:space="preserve">Little </w:t>
            </w:r>
            <w:proofErr w:type="spellStart"/>
            <w:r>
              <w:t>Wandle</w:t>
            </w:r>
            <w:proofErr w:type="spellEnd"/>
            <w:r>
              <w:t xml:space="preserve"> Letters and Sounds Revised</w:t>
            </w:r>
          </w:p>
        </w:tc>
      </w:tr>
      <w:tr w:rsidR="00A86663" w14:paraId="43AC3E8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4BC6" w14:textId="70E6602E" w:rsidR="00A86663" w:rsidRDefault="00A86663">
            <w:pPr>
              <w:pStyle w:val="TableRow"/>
            </w:pPr>
            <w:r>
              <w:t>Jigsaw</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A228" w14:textId="77777777" w:rsidR="00A86663" w:rsidRDefault="00A86663">
            <w:pPr>
              <w:pStyle w:val="TableRowCentered"/>
              <w:jc w:val="left"/>
            </w:pPr>
            <w:r>
              <w:t>Jigsaw PSHE Ltd</w:t>
            </w:r>
          </w:p>
          <w:p w14:paraId="3173D482" w14:textId="6AFE66C6" w:rsidR="00A86663" w:rsidRDefault="00A86663">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21"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21"/>
    </w:tbl>
    <w:p w14:paraId="2A7D555E" w14:textId="77777777" w:rsidR="00E66558" w:rsidRDefault="00E66558"/>
    <w:p w14:paraId="2A7D5560" w14:textId="299DF2A4" w:rsidR="00E66558" w:rsidRDefault="00E66558">
      <w:pPr>
        <w:pStyle w:val="Heading1"/>
      </w:pPr>
    </w:p>
    <w:bookmarkEnd w:id="14"/>
    <w:bookmarkEnd w:id="15"/>
    <w:bookmarkEnd w:id="16"/>
    <w:p w14:paraId="359E2F9A" w14:textId="77777777" w:rsidR="00F40044" w:rsidRDefault="00F40044"/>
    <w:p w14:paraId="1095073B" w14:textId="77777777" w:rsidR="00F40044" w:rsidRDefault="00F40044"/>
    <w:p w14:paraId="40432592" w14:textId="55661756" w:rsidR="00F40044" w:rsidRPr="00F40044" w:rsidRDefault="00F40044">
      <w:pPr>
        <w:rPr>
          <w:color w:val="0070C0"/>
        </w:rPr>
      </w:pPr>
    </w:p>
    <w:sectPr w:rsidR="00F40044" w:rsidRPr="00F40044">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34748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7D2"/>
    <w:multiLevelType w:val="hybridMultilevel"/>
    <w:tmpl w:val="3E5807A8"/>
    <w:lvl w:ilvl="0" w:tplc="5A04D03C">
      <w:start w:val="3"/>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6D12D3"/>
    <w:multiLevelType w:val="hybridMultilevel"/>
    <w:tmpl w:val="7AD85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B2A50A2"/>
    <w:multiLevelType w:val="hybridMultilevel"/>
    <w:tmpl w:val="177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26892"/>
    <w:multiLevelType w:val="hybridMultilevel"/>
    <w:tmpl w:val="1FAC81E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630E13"/>
    <w:multiLevelType w:val="hybridMultilevel"/>
    <w:tmpl w:val="3C36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E305F2"/>
    <w:multiLevelType w:val="hybridMultilevel"/>
    <w:tmpl w:val="6874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F7A41"/>
    <w:multiLevelType w:val="hybridMultilevel"/>
    <w:tmpl w:val="3610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2"/>
  </w:num>
  <w:num w:numId="8">
    <w:abstractNumId w:val="17"/>
  </w:num>
  <w:num w:numId="9">
    <w:abstractNumId w:val="15"/>
  </w:num>
  <w:num w:numId="10">
    <w:abstractNumId w:val="14"/>
  </w:num>
  <w:num w:numId="11">
    <w:abstractNumId w:val="3"/>
  </w:num>
  <w:num w:numId="12">
    <w:abstractNumId w:val="16"/>
  </w:num>
  <w:num w:numId="13">
    <w:abstractNumId w:val="11"/>
  </w:num>
  <w:num w:numId="14">
    <w:abstractNumId w:val="10"/>
  </w:num>
  <w:num w:numId="15">
    <w:abstractNumId w:val="0"/>
  </w:num>
  <w:num w:numId="16">
    <w:abstractNumId w:val="19"/>
  </w:num>
  <w:num w:numId="17">
    <w:abstractNumId w:val="7"/>
  </w:num>
  <w:num w:numId="18">
    <w:abstractNumId w:val="9"/>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1370"/>
    <w:rsid w:val="00066B73"/>
    <w:rsid w:val="0008765A"/>
    <w:rsid w:val="00092181"/>
    <w:rsid w:val="00093417"/>
    <w:rsid w:val="000A1803"/>
    <w:rsid w:val="000A5A14"/>
    <w:rsid w:val="000B5878"/>
    <w:rsid w:val="000D6EA5"/>
    <w:rsid w:val="00101ED1"/>
    <w:rsid w:val="0011039B"/>
    <w:rsid w:val="00120AB1"/>
    <w:rsid w:val="001574C7"/>
    <w:rsid w:val="00185A3E"/>
    <w:rsid w:val="0019140F"/>
    <w:rsid w:val="001C7D5D"/>
    <w:rsid w:val="001E3434"/>
    <w:rsid w:val="00241324"/>
    <w:rsid w:val="0024492D"/>
    <w:rsid w:val="00276D63"/>
    <w:rsid w:val="002E42D4"/>
    <w:rsid w:val="002F5CA6"/>
    <w:rsid w:val="00347482"/>
    <w:rsid w:val="00385F04"/>
    <w:rsid w:val="003B5091"/>
    <w:rsid w:val="003B5F67"/>
    <w:rsid w:val="004044AA"/>
    <w:rsid w:val="00410ACF"/>
    <w:rsid w:val="00410ED5"/>
    <w:rsid w:val="0041710F"/>
    <w:rsid w:val="004410A9"/>
    <w:rsid w:val="00481057"/>
    <w:rsid w:val="004A5524"/>
    <w:rsid w:val="004B46E3"/>
    <w:rsid w:val="004D0A58"/>
    <w:rsid w:val="004D7C3C"/>
    <w:rsid w:val="004F097F"/>
    <w:rsid w:val="00514AA9"/>
    <w:rsid w:val="005D65B4"/>
    <w:rsid w:val="005E4439"/>
    <w:rsid w:val="005F590A"/>
    <w:rsid w:val="005F692B"/>
    <w:rsid w:val="005F69B8"/>
    <w:rsid w:val="006318EA"/>
    <w:rsid w:val="0065728E"/>
    <w:rsid w:val="006646F8"/>
    <w:rsid w:val="0067052C"/>
    <w:rsid w:val="00687CCE"/>
    <w:rsid w:val="006C6BD7"/>
    <w:rsid w:val="006D11A2"/>
    <w:rsid w:val="006E424D"/>
    <w:rsid w:val="006E7FB1"/>
    <w:rsid w:val="006F41F8"/>
    <w:rsid w:val="0070342A"/>
    <w:rsid w:val="00705344"/>
    <w:rsid w:val="00741B9E"/>
    <w:rsid w:val="007642AB"/>
    <w:rsid w:val="00771694"/>
    <w:rsid w:val="007855F2"/>
    <w:rsid w:val="007C2F04"/>
    <w:rsid w:val="007C4A83"/>
    <w:rsid w:val="007C7AA9"/>
    <w:rsid w:val="007F6FAF"/>
    <w:rsid w:val="008037F4"/>
    <w:rsid w:val="00844101"/>
    <w:rsid w:val="008A3075"/>
    <w:rsid w:val="008B59AC"/>
    <w:rsid w:val="00905299"/>
    <w:rsid w:val="00945B7F"/>
    <w:rsid w:val="00950C2D"/>
    <w:rsid w:val="009D71E8"/>
    <w:rsid w:val="00A200D7"/>
    <w:rsid w:val="00A33210"/>
    <w:rsid w:val="00A50890"/>
    <w:rsid w:val="00A86663"/>
    <w:rsid w:val="00AA0A44"/>
    <w:rsid w:val="00B1641D"/>
    <w:rsid w:val="00B229DB"/>
    <w:rsid w:val="00B64EEE"/>
    <w:rsid w:val="00B6641F"/>
    <w:rsid w:val="00B96470"/>
    <w:rsid w:val="00BB2080"/>
    <w:rsid w:val="00BE44BC"/>
    <w:rsid w:val="00BE7764"/>
    <w:rsid w:val="00BF060A"/>
    <w:rsid w:val="00C26D62"/>
    <w:rsid w:val="00C26D72"/>
    <w:rsid w:val="00C26F3E"/>
    <w:rsid w:val="00C8066E"/>
    <w:rsid w:val="00CA18F5"/>
    <w:rsid w:val="00CA3ACF"/>
    <w:rsid w:val="00CB2631"/>
    <w:rsid w:val="00CD0D26"/>
    <w:rsid w:val="00CE1C44"/>
    <w:rsid w:val="00D148AF"/>
    <w:rsid w:val="00D24B37"/>
    <w:rsid w:val="00D33FE5"/>
    <w:rsid w:val="00D4074B"/>
    <w:rsid w:val="00D414BD"/>
    <w:rsid w:val="00D753E7"/>
    <w:rsid w:val="00D8741D"/>
    <w:rsid w:val="00DC76CC"/>
    <w:rsid w:val="00DD5F0E"/>
    <w:rsid w:val="00E20DCA"/>
    <w:rsid w:val="00E217C9"/>
    <w:rsid w:val="00E368C7"/>
    <w:rsid w:val="00E630E2"/>
    <w:rsid w:val="00E66558"/>
    <w:rsid w:val="00E96D66"/>
    <w:rsid w:val="00EB3677"/>
    <w:rsid w:val="00ED5169"/>
    <w:rsid w:val="00EE26C3"/>
    <w:rsid w:val="00EF2A79"/>
    <w:rsid w:val="00F01F36"/>
    <w:rsid w:val="00F314BE"/>
    <w:rsid w:val="00F40044"/>
    <w:rsid w:val="00F51036"/>
    <w:rsid w:val="00F67817"/>
    <w:rsid w:val="00F765CF"/>
    <w:rsid w:val="00F915E8"/>
    <w:rsid w:val="00FD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6916159-619B-4CAB-BEB7-B54C2E91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B64EEE"/>
    <w:rPr>
      <w:color w:val="605E5C"/>
      <w:shd w:val="clear" w:color="auto" w:fill="E1DFDD"/>
    </w:rPr>
  </w:style>
  <w:style w:type="table" w:styleId="TableGrid">
    <w:name w:val="Table Grid"/>
    <w:basedOn w:val="TableNormal"/>
    <w:uiPriority w:val="39"/>
    <w:rsid w:val="00B229DB"/>
    <w:pPr>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0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tlewandlelettersandsounds.org.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irleyclarke-education.org" TargetMode="External"/><Relationship Id="rId4" Type="http://schemas.openxmlformats.org/officeDocument/2006/relationships/settings" Target="settings.xml"/><Relationship Id="rId9" Type="http://schemas.openxmlformats.org/officeDocument/2006/relationships/hyperlink" Target="http://www.shirleyclarke-educ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487F-B673-4529-AAE4-0065D1BB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Elementary ICT</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sjoy.301</dc:creator>
  <dc:description>Master-ET-v3.8</dc:description>
  <cp:lastModifiedBy>Joy, Su</cp:lastModifiedBy>
  <cp:revision>2</cp:revision>
  <cp:lastPrinted>2023-12-12T15:22:00Z</cp:lastPrinted>
  <dcterms:created xsi:type="dcterms:W3CDTF">2024-01-15T16:19:00Z</dcterms:created>
  <dcterms:modified xsi:type="dcterms:W3CDTF">2024-01-15T16:19:00Z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